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3D" w:rsidRPr="005D38E8" w:rsidRDefault="00FC7240">
      <w:pPr>
        <w:rPr>
          <w:b/>
          <w:sz w:val="22"/>
          <w:szCs w:val="22"/>
        </w:rPr>
      </w:pPr>
      <w:r w:rsidRPr="005D38E8">
        <w:rPr>
          <w:b/>
          <w:sz w:val="22"/>
          <w:szCs w:val="22"/>
        </w:rPr>
        <w:t>FURTHER ALTERATIONS TO THE LONDON PLAN</w:t>
      </w:r>
    </w:p>
    <w:p w:rsidR="00FC7240" w:rsidRPr="005D38E8" w:rsidRDefault="00FC7240">
      <w:pPr>
        <w:rPr>
          <w:sz w:val="22"/>
          <w:szCs w:val="22"/>
        </w:rPr>
      </w:pPr>
      <w:r w:rsidRPr="005D38E8">
        <w:rPr>
          <w:sz w:val="22"/>
          <w:szCs w:val="22"/>
        </w:rPr>
        <w:t>CHAPTER 4: LONDON’S ECONOMY</w:t>
      </w:r>
    </w:p>
    <w:p w:rsidR="00FC7240" w:rsidRPr="005D38E8" w:rsidRDefault="00FC7240">
      <w:pPr>
        <w:rPr>
          <w:sz w:val="22"/>
          <w:szCs w:val="22"/>
        </w:rPr>
      </w:pPr>
    </w:p>
    <w:tbl>
      <w:tblPr>
        <w:tblStyle w:val="TableGrid"/>
        <w:tblW w:w="0" w:type="auto"/>
        <w:tblLook w:val="04A0"/>
      </w:tblPr>
      <w:tblGrid>
        <w:gridCol w:w="2518"/>
        <w:gridCol w:w="5998"/>
      </w:tblGrid>
      <w:tr w:rsidR="000C0F43" w:rsidRPr="005D38E8">
        <w:tc>
          <w:tcPr>
            <w:tcW w:w="2518" w:type="dxa"/>
          </w:tcPr>
          <w:p w:rsidR="000C0F43" w:rsidRPr="005D38E8" w:rsidRDefault="000C0F43">
            <w:pPr>
              <w:rPr>
                <w:b/>
                <w:sz w:val="22"/>
                <w:szCs w:val="22"/>
              </w:rPr>
            </w:pPr>
            <w:r w:rsidRPr="005D38E8">
              <w:rPr>
                <w:b/>
                <w:sz w:val="22"/>
                <w:szCs w:val="22"/>
              </w:rPr>
              <w:t>POLICY / PARAGRAPH</w:t>
            </w:r>
          </w:p>
        </w:tc>
        <w:tc>
          <w:tcPr>
            <w:tcW w:w="5998" w:type="dxa"/>
          </w:tcPr>
          <w:p w:rsidR="000C0F43" w:rsidRPr="005D38E8" w:rsidRDefault="000C0F43">
            <w:pPr>
              <w:rPr>
                <w:b/>
                <w:sz w:val="22"/>
                <w:szCs w:val="22"/>
              </w:rPr>
            </w:pPr>
            <w:r w:rsidRPr="005D38E8">
              <w:rPr>
                <w:b/>
                <w:sz w:val="22"/>
                <w:szCs w:val="22"/>
              </w:rPr>
              <w:t>ALTERATIONS</w:t>
            </w:r>
          </w:p>
        </w:tc>
      </w:tr>
      <w:tr w:rsidR="000C0F43" w:rsidRPr="005D38E8">
        <w:tc>
          <w:tcPr>
            <w:tcW w:w="2518" w:type="dxa"/>
          </w:tcPr>
          <w:p w:rsidR="000C0F43" w:rsidRPr="005D38E8" w:rsidRDefault="000C0F43">
            <w:pPr>
              <w:rPr>
                <w:sz w:val="22"/>
                <w:szCs w:val="22"/>
              </w:rPr>
            </w:pPr>
            <w:r w:rsidRPr="005D38E8">
              <w:rPr>
                <w:sz w:val="22"/>
                <w:szCs w:val="22"/>
              </w:rPr>
              <w:t>Para 4.1</w:t>
            </w:r>
            <w:r w:rsidR="005D38E8">
              <w:rPr>
                <w:sz w:val="22"/>
                <w:szCs w:val="22"/>
              </w:rPr>
              <w:t xml:space="preserve"> (p.127)</w:t>
            </w:r>
          </w:p>
        </w:tc>
        <w:tc>
          <w:tcPr>
            <w:tcW w:w="5998" w:type="dxa"/>
          </w:tcPr>
          <w:p w:rsidR="000C0F43" w:rsidRPr="005D38E8" w:rsidRDefault="000C0F43">
            <w:pPr>
              <w:rPr>
                <w:sz w:val="22"/>
                <w:szCs w:val="22"/>
              </w:rPr>
            </w:pPr>
            <w:r w:rsidRPr="005D38E8">
              <w:rPr>
                <w:sz w:val="22"/>
                <w:szCs w:val="22"/>
              </w:rPr>
              <w:t>Extends lifetime of plan’s policies to support London’s economy from 2031 to 2036</w:t>
            </w:r>
          </w:p>
        </w:tc>
      </w:tr>
      <w:tr w:rsidR="000C0F43" w:rsidRPr="005D38E8">
        <w:tc>
          <w:tcPr>
            <w:tcW w:w="2518" w:type="dxa"/>
          </w:tcPr>
          <w:p w:rsidR="000C0F43" w:rsidRPr="005D38E8" w:rsidRDefault="000C0F43">
            <w:pPr>
              <w:rPr>
                <w:sz w:val="22"/>
                <w:szCs w:val="22"/>
              </w:rPr>
            </w:pPr>
            <w:r w:rsidRPr="005D38E8">
              <w:rPr>
                <w:sz w:val="22"/>
                <w:szCs w:val="22"/>
              </w:rPr>
              <w:t>Para 4.2</w:t>
            </w:r>
            <w:r w:rsidR="005D38E8">
              <w:rPr>
                <w:sz w:val="22"/>
                <w:szCs w:val="22"/>
              </w:rPr>
              <w:t xml:space="preserve"> (p.127)</w:t>
            </w:r>
          </w:p>
        </w:tc>
        <w:tc>
          <w:tcPr>
            <w:tcW w:w="5998" w:type="dxa"/>
          </w:tcPr>
          <w:p w:rsidR="000C0F43" w:rsidRPr="005D38E8" w:rsidRDefault="000C0F43" w:rsidP="000C0F43">
            <w:pPr>
              <w:rPr>
                <w:sz w:val="22"/>
                <w:szCs w:val="22"/>
              </w:rPr>
            </w:pPr>
            <w:r w:rsidRPr="005D38E8">
              <w:rPr>
                <w:sz w:val="22"/>
                <w:szCs w:val="22"/>
              </w:rPr>
              <w:t>Added reference to purpose of this chapter’s policies in providing policy base for ‘development, growth and investment’, referenced with a footnote to the Mayor’s 2020 Vision document</w:t>
            </w:r>
          </w:p>
        </w:tc>
      </w:tr>
      <w:tr w:rsidR="000C0F43" w:rsidRPr="005D38E8">
        <w:tc>
          <w:tcPr>
            <w:tcW w:w="2518" w:type="dxa"/>
          </w:tcPr>
          <w:p w:rsidR="000C0F43" w:rsidRPr="005D38E8" w:rsidRDefault="004D4B22">
            <w:pPr>
              <w:rPr>
                <w:sz w:val="22"/>
                <w:szCs w:val="22"/>
              </w:rPr>
            </w:pPr>
            <w:r>
              <w:rPr>
                <w:sz w:val="22"/>
                <w:szCs w:val="22"/>
              </w:rPr>
              <w:t>POLICY 4.1 DEVELOPING LONDON’S ECONOMY</w:t>
            </w:r>
            <w:r w:rsidR="005D38E8">
              <w:rPr>
                <w:sz w:val="22"/>
                <w:szCs w:val="22"/>
              </w:rPr>
              <w:t xml:space="preserve"> (p.127)</w:t>
            </w:r>
          </w:p>
        </w:tc>
        <w:tc>
          <w:tcPr>
            <w:tcW w:w="5998" w:type="dxa"/>
          </w:tcPr>
          <w:p w:rsidR="000C0F43" w:rsidRPr="005D38E8" w:rsidRDefault="000C0F43">
            <w:pPr>
              <w:rPr>
                <w:sz w:val="22"/>
                <w:szCs w:val="22"/>
              </w:rPr>
            </w:pPr>
            <w:r w:rsidRPr="005D38E8">
              <w:rPr>
                <w:sz w:val="22"/>
                <w:szCs w:val="22"/>
              </w:rPr>
              <w:t>New bullet point a2 inserted, saying the Mayor will work with partners to ‘maximise the benefits from new infrastructure to secure sustainable growth and development’</w:t>
            </w:r>
          </w:p>
        </w:tc>
      </w:tr>
      <w:tr w:rsidR="000C0F43" w:rsidRPr="005D38E8">
        <w:tc>
          <w:tcPr>
            <w:tcW w:w="2518" w:type="dxa"/>
          </w:tcPr>
          <w:p w:rsidR="000C0F43" w:rsidRPr="005D38E8" w:rsidRDefault="000C0F43">
            <w:pPr>
              <w:rPr>
                <w:sz w:val="22"/>
                <w:szCs w:val="22"/>
              </w:rPr>
            </w:pPr>
            <w:r w:rsidRPr="005D38E8">
              <w:rPr>
                <w:sz w:val="22"/>
                <w:szCs w:val="22"/>
              </w:rPr>
              <w:t>Para 4.4A</w:t>
            </w:r>
            <w:r w:rsidR="005D38E8">
              <w:rPr>
                <w:sz w:val="22"/>
                <w:szCs w:val="22"/>
              </w:rPr>
              <w:t xml:space="preserve"> (p.128)</w:t>
            </w:r>
          </w:p>
        </w:tc>
        <w:tc>
          <w:tcPr>
            <w:tcW w:w="5998" w:type="dxa"/>
          </w:tcPr>
          <w:p w:rsidR="000C0F43" w:rsidRPr="005D38E8" w:rsidRDefault="000C0F43">
            <w:pPr>
              <w:rPr>
                <w:sz w:val="22"/>
                <w:szCs w:val="22"/>
              </w:rPr>
            </w:pPr>
            <w:r w:rsidRPr="005D38E8">
              <w:rPr>
                <w:sz w:val="22"/>
                <w:szCs w:val="22"/>
              </w:rPr>
              <w:t>New para inserted: ‘Investment in new infrastructure is critical to securing sustainable growth and development [footnote reference to 2020 Vision]. This Plan seeks to maximize the economic, social and environmental benefits from such investment in London. For the London economy, these benefits include economic output, employment, productivity, business opportunities, regeneration and the capital’s contribution to the wider UK economy’</w:t>
            </w:r>
          </w:p>
        </w:tc>
      </w:tr>
      <w:tr w:rsidR="000C0F43" w:rsidRPr="005D38E8">
        <w:tc>
          <w:tcPr>
            <w:tcW w:w="2518" w:type="dxa"/>
          </w:tcPr>
          <w:p w:rsidR="000C0F43" w:rsidRPr="005D38E8" w:rsidRDefault="005D38E8">
            <w:pPr>
              <w:rPr>
                <w:sz w:val="22"/>
                <w:szCs w:val="22"/>
              </w:rPr>
            </w:pPr>
            <w:r>
              <w:rPr>
                <w:sz w:val="22"/>
                <w:szCs w:val="22"/>
              </w:rPr>
              <w:t>Para 4.5 (p.128)</w:t>
            </w:r>
          </w:p>
        </w:tc>
        <w:tc>
          <w:tcPr>
            <w:tcW w:w="5998" w:type="dxa"/>
          </w:tcPr>
          <w:p w:rsidR="000C0F43" w:rsidRPr="005D38E8" w:rsidRDefault="004D4B22">
            <w:pPr>
              <w:rPr>
                <w:sz w:val="22"/>
                <w:szCs w:val="22"/>
              </w:rPr>
            </w:pPr>
            <w:r>
              <w:rPr>
                <w:sz w:val="22"/>
                <w:szCs w:val="22"/>
              </w:rPr>
              <w:t>Amendment of reference to 3,400 social enterprises in London providing 104,500 jobs, to 8,000 voluntary enterprises [footnote reference to ONS VAT/PAYE enterprises 2013 data] providing 377,800 jobs.</w:t>
            </w:r>
          </w:p>
        </w:tc>
      </w:tr>
      <w:tr w:rsidR="000C0F43" w:rsidRPr="005D38E8">
        <w:tc>
          <w:tcPr>
            <w:tcW w:w="2518" w:type="dxa"/>
          </w:tcPr>
          <w:p w:rsidR="000C0F43" w:rsidRPr="005D38E8" w:rsidRDefault="004D4B22">
            <w:pPr>
              <w:rPr>
                <w:sz w:val="22"/>
                <w:szCs w:val="22"/>
              </w:rPr>
            </w:pPr>
            <w:r>
              <w:rPr>
                <w:sz w:val="22"/>
                <w:szCs w:val="22"/>
              </w:rPr>
              <w:t>Para 4.5 (p.128)</w:t>
            </w:r>
          </w:p>
        </w:tc>
        <w:tc>
          <w:tcPr>
            <w:tcW w:w="5998" w:type="dxa"/>
          </w:tcPr>
          <w:p w:rsidR="000C0F43" w:rsidRPr="005D38E8" w:rsidRDefault="004D4B22">
            <w:pPr>
              <w:rPr>
                <w:sz w:val="22"/>
                <w:szCs w:val="22"/>
              </w:rPr>
            </w:pPr>
            <w:r>
              <w:rPr>
                <w:sz w:val="22"/>
                <w:szCs w:val="22"/>
              </w:rPr>
              <w:t>Public sector jobs figures updated from 782,000 to 739,000, and description of this changed from ‘proportionately much less than in other regions’ to ‘proportionately one of the lowest of all regions’.</w:t>
            </w:r>
          </w:p>
        </w:tc>
      </w:tr>
      <w:tr w:rsidR="000C0F43" w:rsidRPr="005D38E8">
        <w:tc>
          <w:tcPr>
            <w:tcW w:w="2518" w:type="dxa"/>
          </w:tcPr>
          <w:p w:rsidR="000C0F43" w:rsidRPr="005D38E8" w:rsidRDefault="004D4B22">
            <w:pPr>
              <w:rPr>
                <w:sz w:val="22"/>
                <w:szCs w:val="22"/>
              </w:rPr>
            </w:pPr>
            <w:r>
              <w:rPr>
                <w:sz w:val="22"/>
                <w:szCs w:val="22"/>
              </w:rPr>
              <w:t>Para 4.6 (p.128)</w:t>
            </w:r>
          </w:p>
        </w:tc>
        <w:tc>
          <w:tcPr>
            <w:tcW w:w="5998" w:type="dxa"/>
          </w:tcPr>
          <w:p w:rsidR="000C0F43" w:rsidRPr="005D38E8" w:rsidRDefault="004D4B22">
            <w:pPr>
              <w:rPr>
                <w:sz w:val="22"/>
                <w:szCs w:val="22"/>
              </w:rPr>
            </w:pPr>
            <w:r>
              <w:rPr>
                <w:sz w:val="22"/>
                <w:szCs w:val="22"/>
              </w:rPr>
              <w:t>Specific reference inserted to ‘technology, media and telecommunications (TMT) sector’ as one of the new sectors emerging</w:t>
            </w:r>
          </w:p>
        </w:tc>
      </w:tr>
      <w:tr w:rsidR="000C0F43" w:rsidRPr="005D38E8">
        <w:tc>
          <w:tcPr>
            <w:tcW w:w="2518" w:type="dxa"/>
          </w:tcPr>
          <w:p w:rsidR="000C0F43" w:rsidRPr="005D38E8" w:rsidRDefault="004D4B22">
            <w:pPr>
              <w:rPr>
                <w:sz w:val="22"/>
                <w:szCs w:val="22"/>
              </w:rPr>
            </w:pPr>
            <w:r>
              <w:rPr>
                <w:sz w:val="22"/>
                <w:szCs w:val="22"/>
              </w:rPr>
              <w:t>Para 4.6 (p.128)</w:t>
            </w:r>
          </w:p>
        </w:tc>
        <w:tc>
          <w:tcPr>
            <w:tcW w:w="5998" w:type="dxa"/>
          </w:tcPr>
          <w:p w:rsidR="000C0F43" w:rsidRPr="005D38E8" w:rsidRDefault="004D4B22">
            <w:pPr>
              <w:rPr>
                <w:sz w:val="22"/>
                <w:szCs w:val="22"/>
              </w:rPr>
            </w:pPr>
            <w:r>
              <w:rPr>
                <w:sz w:val="22"/>
                <w:szCs w:val="22"/>
              </w:rPr>
              <w:t>Insert reference to new emerging sectors playing part in a ‘resilient’ as well as ‘thriving’ and ‘diverse’ economy</w:t>
            </w:r>
          </w:p>
        </w:tc>
      </w:tr>
      <w:tr w:rsidR="000C0F43" w:rsidRPr="005D38E8">
        <w:tc>
          <w:tcPr>
            <w:tcW w:w="2518" w:type="dxa"/>
          </w:tcPr>
          <w:p w:rsidR="000C0F43" w:rsidRPr="005D38E8" w:rsidRDefault="004D4B22">
            <w:pPr>
              <w:rPr>
                <w:sz w:val="22"/>
                <w:szCs w:val="22"/>
              </w:rPr>
            </w:pPr>
            <w:r>
              <w:rPr>
                <w:sz w:val="22"/>
                <w:szCs w:val="22"/>
              </w:rPr>
              <w:t>Para 4.9A (p.129)</w:t>
            </w:r>
          </w:p>
        </w:tc>
        <w:tc>
          <w:tcPr>
            <w:tcW w:w="5998" w:type="dxa"/>
          </w:tcPr>
          <w:p w:rsidR="000C0F43" w:rsidRDefault="004D4B22">
            <w:pPr>
              <w:rPr>
                <w:sz w:val="22"/>
                <w:szCs w:val="22"/>
              </w:rPr>
            </w:pPr>
            <w:r>
              <w:rPr>
                <w:sz w:val="22"/>
                <w:szCs w:val="22"/>
              </w:rPr>
              <w:t>New para inserted: ‘The London Plan provides the strategic planning framework for the London Enterprise Panel (LEP) which is the local enterprise partnership for London [footnote to LEP part of GLA site]. Its purpose is to:</w:t>
            </w:r>
          </w:p>
          <w:p w:rsidR="004D4B22" w:rsidRPr="004D4B22" w:rsidRDefault="004D4B22" w:rsidP="004D4B22">
            <w:pPr>
              <w:pStyle w:val="ListParagraph"/>
              <w:numPr>
                <w:ilvl w:val="0"/>
                <w:numId w:val="1"/>
              </w:numPr>
              <w:rPr>
                <w:sz w:val="22"/>
                <w:szCs w:val="22"/>
              </w:rPr>
            </w:pPr>
            <w:r w:rsidRPr="004D4B22">
              <w:rPr>
                <w:sz w:val="22"/>
                <w:szCs w:val="22"/>
              </w:rPr>
              <w:t>advise the Mayor on action to provide strategic investment to support private sector growth and employment;</w:t>
            </w:r>
          </w:p>
          <w:p w:rsidR="004D4B22" w:rsidRDefault="004D4B22" w:rsidP="004D4B22">
            <w:pPr>
              <w:pStyle w:val="ListParagraph"/>
              <w:numPr>
                <w:ilvl w:val="0"/>
                <w:numId w:val="1"/>
              </w:numPr>
              <w:rPr>
                <w:sz w:val="22"/>
                <w:szCs w:val="22"/>
              </w:rPr>
            </w:pPr>
            <w:r>
              <w:rPr>
                <w:sz w:val="22"/>
                <w:szCs w:val="22"/>
              </w:rPr>
              <w:t>promote enterprise and innovation and the acquisition of skills for sustained employment in London; and</w:t>
            </w:r>
          </w:p>
          <w:p w:rsidR="004D4B22" w:rsidRPr="004D4B22" w:rsidRDefault="004D4B22" w:rsidP="004D4B22">
            <w:pPr>
              <w:pStyle w:val="ListParagraph"/>
              <w:numPr>
                <w:ilvl w:val="0"/>
                <w:numId w:val="1"/>
              </w:numPr>
              <w:rPr>
                <w:sz w:val="22"/>
                <w:szCs w:val="22"/>
              </w:rPr>
            </w:pPr>
            <w:r>
              <w:rPr>
                <w:sz w:val="22"/>
                <w:szCs w:val="22"/>
              </w:rPr>
              <w:t>protect and enhance London’s competitiveness.’</w:t>
            </w:r>
          </w:p>
        </w:tc>
      </w:tr>
      <w:tr w:rsidR="000C0F43" w:rsidRPr="005D38E8">
        <w:tc>
          <w:tcPr>
            <w:tcW w:w="2518" w:type="dxa"/>
          </w:tcPr>
          <w:p w:rsidR="000C0F43" w:rsidRPr="005D38E8" w:rsidRDefault="004D4B22">
            <w:pPr>
              <w:rPr>
                <w:sz w:val="22"/>
                <w:szCs w:val="22"/>
              </w:rPr>
            </w:pPr>
            <w:r>
              <w:rPr>
                <w:sz w:val="22"/>
                <w:szCs w:val="22"/>
              </w:rPr>
              <w:t>POLICY 4.2 OFFICES (p.130)</w:t>
            </w:r>
          </w:p>
        </w:tc>
        <w:tc>
          <w:tcPr>
            <w:tcW w:w="5998" w:type="dxa"/>
          </w:tcPr>
          <w:p w:rsidR="004D4B22" w:rsidRDefault="004D4B22">
            <w:pPr>
              <w:rPr>
                <w:sz w:val="22"/>
                <w:szCs w:val="22"/>
              </w:rPr>
            </w:pPr>
            <w:r>
              <w:rPr>
                <w:sz w:val="22"/>
                <w:szCs w:val="22"/>
              </w:rPr>
              <w:t>New bullet point inserted detailing actions Mayor and boroughs and other stakeholders will take:</w:t>
            </w:r>
          </w:p>
          <w:p w:rsidR="004D4B22" w:rsidRPr="005D38E8" w:rsidRDefault="004D4B22">
            <w:pPr>
              <w:rPr>
                <w:sz w:val="22"/>
                <w:szCs w:val="22"/>
              </w:rPr>
            </w:pPr>
            <w:r>
              <w:rPr>
                <w:sz w:val="22"/>
                <w:szCs w:val="22"/>
              </w:rPr>
              <w:t>‘monitor the impact of government liberalization of Permitted Development rights for changes of use from offices to residential’.</w:t>
            </w:r>
          </w:p>
        </w:tc>
      </w:tr>
      <w:tr w:rsidR="000C0F43" w:rsidRPr="005D38E8">
        <w:tc>
          <w:tcPr>
            <w:tcW w:w="2518" w:type="dxa"/>
          </w:tcPr>
          <w:p w:rsidR="000C0F43" w:rsidRPr="005D38E8" w:rsidRDefault="004D4B22">
            <w:pPr>
              <w:rPr>
                <w:sz w:val="22"/>
                <w:szCs w:val="22"/>
              </w:rPr>
            </w:pPr>
            <w:r>
              <w:rPr>
                <w:sz w:val="22"/>
                <w:szCs w:val="22"/>
              </w:rPr>
              <w:t>Para 4.12 (p.131)</w:t>
            </w:r>
          </w:p>
        </w:tc>
        <w:tc>
          <w:tcPr>
            <w:tcW w:w="5998" w:type="dxa"/>
          </w:tcPr>
          <w:p w:rsidR="000C0F43" w:rsidRDefault="004D4B22">
            <w:pPr>
              <w:rPr>
                <w:sz w:val="22"/>
                <w:szCs w:val="22"/>
              </w:rPr>
            </w:pPr>
            <w:r>
              <w:rPr>
                <w:sz w:val="22"/>
                <w:szCs w:val="22"/>
              </w:rPr>
              <w:t>Inserted reference to ‘see office guidelines in Annex 2’ within bullet point on town centre based office quarters – one of the locations listed as being viable for renew</w:t>
            </w:r>
            <w:r w:rsidR="00FF2554">
              <w:rPr>
                <w:sz w:val="22"/>
                <w:szCs w:val="22"/>
              </w:rPr>
              <w:t>al/modernization of office stock.</w:t>
            </w:r>
          </w:p>
          <w:p w:rsidR="00FF2554" w:rsidRDefault="00FF2554">
            <w:pPr>
              <w:rPr>
                <w:sz w:val="22"/>
                <w:szCs w:val="22"/>
              </w:rPr>
            </w:pPr>
          </w:p>
          <w:p w:rsidR="00FF2554" w:rsidRDefault="00FF2554">
            <w:pPr>
              <w:rPr>
                <w:sz w:val="22"/>
                <w:szCs w:val="22"/>
              </w:rPr>
            </w:pPr>
            <w:r>
              <w:rPr>
                <w:sz w:val="22"/>
                <w:szCs w:val="22"/>
              </w:rPr>
              <w:t>Within Annex 2 Office guidelines, the following changes are made:</w:t>
            </w:r>
          </w:p>
          <w:p w:rsidR="00FF2554" w:rsidRDefault="00FF2554">
            <w:pPr>
              <w:rPr>
                <w:sz w:val="22"/>
                <w:szCs w:val="22"/>
              </w:rPr>
            </w:pPr>
            <w:r>
              <w:rPr>
                <w:sz w:val="22"/>
                <w:szCs w:val="22"/>
              </w:rPr>
              <w:t>3. Bromley: downgraded from A to B</w:t>
            </w:r>
          </w:p>
          <w:p w:rsidR="00FF2554" w:rsidRDefault="00FF2554">
            <w:pPr>
              <w:rPr>
                <w:sz w:val="22"/>
                <w:szCs w:val="22"/>
              </w:rPr>
            </w:pPr>
            <w:r>
              <w:rPr>
                <w:sz w:val="22"/>
                <w:szCs w:val="22"/>
              </w:rPr>
              <w:t>5. Ealing: downgraded from A to B</w:t>
            </w:r>
          </w:p>
          <w:p w:rsidR="00FF2554" w:rsidRDefault="00FF2554">
            <w:pPr>
              <w:rPr>
                <w:sz w:val="22"/>
                <w:szCs w:val="22"/>
              </w:rPr>
            </w:pPr>
            <w:r>
              <w:rPr>
                <w:sz w:val="22"/>
                <w:szCs w:val="22"/>
              </w:rPr>
              <w:t>7. Wood Green: downgraded from B to nothing</w:t>
            </w:r>
          </w:p>
          <w:p w:rsidR="00FF2554" w:rsidRDefault="00FF2554" w:rsidP="00FF2554">
            <w:pPr>
              <w:rPr>
                <w:sz w:val="22"/>
                <w:szCs w:val="22"/>
              </w:rPr>
            </w:pPr>
            <w:r>
              <w:rPr>
                <w:sz w:val="22"/>
                <w:szCs w:val="22"/>
              </w:rPr>
              <w:t>12. Kingston: downgraded from A to B</w:t>
            </w:r>
          </w:p>
          <w:p w:rsidR="00FF2554" w:rsidRDefault="00FF2554">
            <w:pPr>
              <w:rPr>
                <w:sz w:val="22"/>
                <w:szCs w:val="22"/>
              </w:rPr>
            </w:pPr>
            <w:r>
              <w:rPr>
                <w:sz w:val="22"/>
                <w:szCs w:val="22"/>
              </w:rPr>
              <w:t>12a. [moved up from 40] Stratford: A [no change]</w:t>
            </w:r>
          </w:p>
          <w:p w:rsidR="00FF2554" w:rsidRDefault="00FF2554">
            <w:pPr>
              <w:rPr>
                <w:sz w:val="22"/>
                <w:szCs w:val="22"/>
              </w:rPr>
            </w:pPr>
            <w:r>
              <w:rPr>
                <w:sz w:val="22"/>
                <w:szCs w:val="22"/>
              </w:rPr>
              <w:t>19. Kilburn: downgraded from B to nothing</w:t>
            </w:r>
          </w:p>
          <w:p w:rsidR="00FF2554" w:rsidRDefault="00FF2554">
            <w:pPr>
              <w:rPr>
                <w:sz w:val="22"/>
                <w:szCs w:val="22"/>
              </w:rPr>
            </w:pPr>
            <w:r>
              <w:rPr>
                <w:sz w:val="22"/>
                <w:szCs w:val="22"/>
              </w:rPr>
              <w:t>20. Orpington: downgraded from B to nothing</w:t>
            </w:r>
          </w:p>
          <w:p w:rsidR="00FF2554" w:rsidRDefault="00FF2554">
            <w:pPr>
              <w:rPr>
                <w:sz w:val="22"/>
                <w:szCs w:val="22"/>
              </w:rPr>
            </w:pPr>
            <w:r>
              <w:rPr>
                <w:sz w:val="22"/>
                <w:szCs w:val="22"/>
              </w:rPr>
              <w:t>25. Woolwich: downgraded from B to nothing</w:t>
            </w:r>
          </w:p>
          <w:p w:rsidR="00FF2554" w:rsidRDefault="00FF2554">
            <w:pPr>
              <w:rPr>
                <w:sz w:val="22"/>
                <w:szCs w:val="22"/>
              </w:rPr>
            </w:pPr>
            <w:r>
              <w:rPr>
                <w:sz w:val="22"/>
                <w:szCs w:val="22"/>
              </w:rPr>
              <w:t>31. Nags Head: downgraded from B to nothing</w:t>
            </w:r>
          </w:p>
          <w:p w:rsidR="00FF2554" w:rsidRDefault="00FF2554">
            <w:pPr>
              <w:rPr>
                <w:sz w:val="22"/>
                <w:szCs w:val="22"/>
              </w:rPr>
            </w:pPr>
            <w:r>
              <w:rPr>
                <w:sz w:val="22"/>
                <w:szCs w:val="22"/>
              </w:rPr>
              <w:t>44. Walthamstow: downgraded from B to nothing</w:t>
            </w:r>
          </w:p>
          <w:p w:rsidR="00FF2554" w:rsidRDefault="00FF2554">
            <w:pPr>
              <w:rPr>
                <w:sz w:val="22"/>
                <w:szCs w:val="22"/>
              </w:rPr>
            </w:pPr>
            <w:r>
              <w:rPr>
                <w:sz w:val="22"/>
                <w:szCs w:val="22"/>
              </w:rPr>
              <w:t>48. Wandsworth: downgraded from B to nothing</w:t>
            </w:r>
          </w:p>
          <w:p w:rsidR="00FF2554" w:rsidRDefault="00FF2554">
            <w:pPr>
              <w:rPr>
                <w:sz w:val="22"/>
                <w:szCs w:val="22"/>
              </w:rPr>
            </w:pPr>
            <w:r>
              <w:rPr>
                <w:sz w:val="22"/>
                <w:szCs w:val="22"/>
              </w:rPr>
              <w:t>69. Sidcup: downgraded from B to nothing</w:t>
            </w:r>
          </w:p>
          <w:p w:rsidR="00FF2554" w:rsidRDefault="00FF2554">
            <w:pPr>
              <w:rPr>
                <w:sz w:val="22"/>
                <w:szCs w:val="22"/>
              </w:rPr>
            </w:pPr>
            <w:r>
              <w:rPr>
                <w:sz w:val="22"/>
                <w:szCs w:val="22"/>
              </w:rPr>
              <w:t>95. Acton: downgraded from B to nothing</w:t>
            </w:r>
          </w:p>
          <w:p w:rsidR="00FF2554" w:rsidRDefault="00FF2554">
            <w:pPr>
              <w:rPr>
                <w:sz w:val="22"/>
                <w:szCs w:val="22"/>
              </w:rPr>
            </w:pPr>
            <w:r>
              <w:rPr>
                <w:sz w:val="22"/>
                <w:szCs w:val="22"/>
              </w:rPr>
              <w:t>107. Stoke Newington: downgraded from B to nothing</w:t>
            </w:r>
          </w:p>
          <w:p w:rsidR="00FF2554" w:rsidRDefault="00FF2554">
            <w:pPr>
              <w:rPr>
                <w:sz w:val="22"/>
                <w:szCs w:val="22"/>
              </w:rPr>
            </w:pPr>
            <w:r>
              <w:rPr>
                <w:sz w:val="22"/>
                <w:szCs w:val="22"/>
              </w:rPr>
              <w:t>134. Finsbury Park: downgraded from B to nothing</w:t>
            </w:r>
          </w:p>
          <w:p w:rsidR="00FF2554" w:rsidRDefault="00FF2554">
            <w:pPr>
              <w:rPr>
                <w:sz w:val="22"/>
                <w:szCs w:val="22"/>
              </w:rPr>
            </w:pPr>
            <w:r>
              <w:rPr>
                <w:sz w:val="22"/>
                <w:szCs w:val="22"/>
              </w:rPr>
              <w:t>199a. Kings Cross / St Pancras [new]: CAZ</w:t>
            </w:r>
          </w:p>
          <w:p w:rsidR="00FF2554" w:rsidRDefault="00FF2554">
            <w:pPr>
              <w:rPr>
                <w:sz w:val="22"/>
                <w:szCs w:val="22"/>
              </w:rPr>
            </w:pPr>
          </w:p>
          <w:p w:rsidR="00FF2554" w:rsidRPr="005D38E8" w:rsidRDefault="00FF2554" w:rsidP="00FF2554">
            <w:pPr>
              <w:rPr>
                <w:sz w:val="22"/>
                <w:szCs w:val="22"/>
              </w:rPr>
            </w:pPr>
            <w:r>
              <w:rPr>
                <w:sz w:val="22"/>
                <w:szCs w:val="22"/>
              </w:rPr>
              <w:t>Also updates reference to London Office Policy Review 2012 [formerly 2009]</w:t>
            </w:r>
          </w:p>
        </w:tc>
      </w:tr>
      <w:tr w:rsidR="000C0F43" w:rsidRPr="005D38E8">
        <w:tc>
          <w:tcPr>
            <w:tcW w:w="2518" w:type="dxa"/>
          </w:tcPr>
          <w:p w:rsidR="000C0F43" w:rsidRPr="005D38E8" w:rsidRDefault="0050075E">
            <w:pPr>
              <w:rPr>
                <w:sz w:val="22"/>
                <w:szCs w:val="22"/>
              </w:rPr>
            </w:pPr>
            <w:r>
              <w:rPr>
                <w:sz w:val="22"/>
                <w:szCs w:val="22"/>
              </w:rPr>
              <w:t>Para 4.14A</w:t>
            </w:r>
            <w:r w:rsidR="00871CF7">
              <w:rPr>
                <w:sz w:val="22"/>
                <w:szCs w:val="22"/>
              </w:rPr>
              <w:t xml:space="preserve"> (p.132)</w:t>
            </w:r>
          </w:p>
        </w:tc>
        <w:tc>
          <w:tcPr>
            <w:tcW w:w="5998" w:type="dxa"/>
          </w:tcPr>
          <w:p w:rsidR="000C0F43" w:rsidRPr="005D38E8" w:rsidRDefault="0050075E">
            <w:pPr>
              <w:rPr>
                <w:sz w:val="22"/>
                <w:szCs w:val="22"/>
              </w:rPr>
            </w:pPr>
            <w:r>
              <w:rPr>
                <w:sz w:val="22"/>
                <w:szCs w:val="22"/>
              </w:rPr>
              <w:t>New paragraph inserted: ‘In 2013 the government liberalized permitted development rights for changes of use from offices to residential but granted exemptions for parts of London including the Central Activities Zone, the north of the Isle of Dogs, Tech City (City Fringe), Kensington and Chelsea and the Royal Docks Enterprise Zone. The impact of permitted development rights beyond these areas will be monitored by the GLA in collaboration with the boroughs.’</w:t>
            </w:r>
          </w:p>
        </w:tc>
      </w:tr>
      <w:tr w:rsidR="000C0F43" w:rsidRPr="005D38E8">
        <w:tc>
          <w:tcPr>
            <w:tcW w:w="2518" w:type="dxa"/>
          </w:tcPr>
          <w:p w:rsidR="000C0F43" w:rsidRPr="005D38E8" w:rsidRDefault="0050075E">
            <w:pPr>
              <w:rPr>
                <w:sz w:val="22"/>
                <w:szCs w:val="22"/>
              </w:rPr>
            </w:pPr>
            <w:r>
              <w:rPr>
                <w:sz w:val="22"/>
                <w:szCs w:val="22"/>
              </w:rPr>
              <w:t>POLICY 4.3 MIXED USE DEVELOPMENT AND OFFICES</w:t>
            </w:r>
            <w:r w:rsidR="00871CF7">
              <w:rPr>
                <w:sz w:val="22"/>
                <w:szCs w:val="22"/>
              </w:rPr>
              <w:t xml:space="preserve"> (p.132-3)</w:t>
            </w:r>
          </w:p>
        </w:tc>
        <w:tc>
          <w:tcPr>
            <w:tcW w:w="5998" w:type="dxa"/>
          </w:tcPr>
          <w:p w:rsidR="000C0F43" w:rsidRDefault="0050075E">
            <w:pPr>
              <w:rPr>
                <w:sz w:val="22"/>
                <w:szCs w:val="22"/>
              </w:rPr>
            </w:pPr>
            <w:r>
              <w:rPr>
                <w:sz w:val="22"/>
                <w:szCs w:val="22"/>
              </w:rPr>
              <w:t xml:space="preserve">Insertion within ‘Strategic’ paragraph (changes in bold): ‘Within the Central Activities Zone and the north of the Isle of Dogs Opportunity Area (see Chapter 2 and Annex 1), increases in office floorspace, </w:t>
            </w:r>
            <w:r>
              <w:rPr>
                <w:b/>
                <w:sz w:val="22"/>
                <w:szCs w:val="22"/>
              </w:rPr>
              <w:t xml:space="preserve">or those above a justified local threshold, </w:t>
            </w:r>
            <w:r>
              <w:rPr>
                <w:sz w:val="22"/>
                <w:szCs w:val="22"/>
              </w:rPr>
              <w:t>should provide for a mix of uses including housing, unless such a mix would demonstrably conflict with other policies in this plan’</w:t>
            </w:r>
            <w:r w:rsidR="00871CF7">
              <w:rPr>
                <w:sz w:val="22"/>
                <w:szCs w:val="22"/>
              </w:rPr>
              <w:t>.</w:t>
            </w:r>
          </w:p>
          <w:p w:rsidR="00871CF7" w:rsidRDefault="00871CF7">
            <w:pPr>
              <w:rPr>
                <w:sz w:val="22"/>
                <w:szCs w:val="22"/>
              </w:rPr>
            </w:pPr>
            <w:r>
              <w:rPr>
                <w:sz w:val="22"/>
                <w:szCs w:val="22"/>
              </w:rPr>
              <w:t>Insertion within LDF Preparation paragraph of two new bullet points, saying that LDF’s should:</w:t>
            </w:r>
          </w:p>
          <w:p w:rsidR="00871CF7" w:rsidRPr="00871CF7" w:rsidRDefault="00871CF7" w:rsidP="00871CF7">
            <w:pPr>
              <w:pStyle w:val="ListParagraph"/>
              <w:numPr>
                <w:ilvl w:val="0"/>
                <w:numId w:val="1"/>
              </w:numPr>
              <w:rPr>
                <w:sz w:val="22"/>
                <w:szCs w:val="22"/>
              </w:rPr>
            </w:pPr>
            <w:r w:rsidRPr="00871CF7">
              <w:rPr>
                <w:sz w:val="22"/>
                <w:szCs w:val="22"/>
              </w:rPr>
              <w:t>‘w</w:t>
            </w:r>
            <w:r>
              <w:rPr>
                <w:sz w:val="22"/>
                <w:szCs w:val="22"/>
              </w:rPr>
              <w:t>h</w:t>
            </w:r>
            <w:r w:rsidRPr="00871CF7">
              <w:rPr>
                <w:sz w:val="22"/>
                <w:szCs w:val="22"/>
              </w:rPr>
              <w:t>ere justified by local and strategic office demand and supply assessments and in areas identified in the LDF as having a particular need for local office provision, provide protection for small scale offices (under 500sqm) within the CAZ.’</w:t>
            </w:r>
          </w:p>
          <w:p w:rsidR="00871CF7" w:rsidRPr="00871CF7" w:rsidRDefault="00871CF7" w:rsidP="00871CF7">
            <w:pPr>
              <w:pStyle w:val="ListParagraph"/>
              <w:numPr>
                <w:ilvl w:val="0"/>
                <w:numId w:val="1"/>
              </w:numPr>
              <w:rPr>
                <w:sz w:val="22"/>
                <w:szCs w:val="22"/>
              </w:rPr>
            </w:pPr>
            <w:r>
              <w:rPr>
                <w:sz w:val="22"/>
                <w:szCs w:val="22"/>
              </w:rPr>
              <w:t>‘where justified by local and strategic office demand assessments and in areas identified in LDF as having a particular need for local office provision, require residential proposals within the CAZ which would otherwise result in the loss of office space to make a proportionate contribution to the provision of new office space within, or nearby, the development.’</w:t>
            </w:r>
          </w:p>
        </w:tc>
      </w:tr>
      <w:tr w:rsidR="000C0F43" w:rsidRPr="005D38E8">
        <w:tc>
          <w:tcPr>
            <w:tcW w:w="2518" w:type="dxa"/>
          </w:tcPr>
          <w:p w:rsidR="000C0F43" w:rsidRPr="005D38E8" w:rsidRDefault="00871CF7">
            <w:pPr>
              <w:rPr>
                <w:sz w:val="22"/>
                <w:szCs w:val="22"/>
              </w:rPr>
            </w:pPr>
            <w:r>
              <w:rPr>
                <w:sz w:val="22"/>
                <w:szCs w:val="22"/>
              </w:rPr>
              <w:t>Para 4.15 (p.133)</w:t>
            </w:r>
          </w:p>
        </w:tc>
        <w:tc>
          <w:tcPr>
            <w:tcW w:w="5998" w:type="dxa"/>
          </w:tcPr>
          <w:p w:rsidR="000C0F43" w:rsidRPr="005D38E8" w:rsidRDefault="00871CF7">
            <w:pPr>
              <w:rPr>
                <w:sz w:val="22"/>
                <w:szCs w:val="22"/>
              </w:rPr>
            </w:pPr>
            <w:r>
              <w:rPr>
                <w:sz w:val="22"/>
                <w:szCs w:val="22"/>
              </w:rPr>
              <w:t>Insertion to mixed use paragraph to clarify that mixed use development can ‘deliver a mix of uses across an area, including, but not necessarily exclusively, in mixed use buildings’.</w:t>
            </w:r>
          </w:p>
        </w:tc>
      </w:tr>
      <w:tr w:rsidR="000C0F43" w:rsidRPr="005D38E8">
        <w:tc>
          <w:tcPr>
            <w:tcW w:w="2518" w:type="dxa"/>
          </w:tcPr>
          <w:p w:rsidR="000C0F43" w:rsidRPr="005D38E8" w:rsidRDefault="00871CF7">
            <w:pPr>
              <w:rPr>
                <w:sz w:val="22"/>
                <w:szCs w:val="22"/>
              </w:rPr>
            </w:pPr>
            <w:r>
              <w:rPr>
                <w:sz w:val="22"/>
                <w:szCs w:val="22"/>
              </w:rPr>
              <w:t>Para 4.16 (p.133)</w:t>
            </w:r>
          </w:p>
        </w:tc>
        <w:tc>
          <w:tcPr>
            <w:tcW w:w="5998" w:type="dxa"/>
          </w:tcPr>
          <w:p w:rsidR="000C0F43" w:rsidRPr="005D38E8" w:rsidRDefault="00871CF7">
            <w:pPr>
              <w:rPr>
                <w:sz w:val="22"/>
                <w:szCs w:val="22"/>
              </w:rPr>
            </w:pPr>
            <w:r>
              <w:rPr>
                <w:sz w:val="22"/>
                <w:szCs w:val="22"/>
              </w:rPr>
              <w:t>Updated reference to guidance on Town Centres SPG as published, rather than forthcoming.</w:t>
            </w:r>
          </w:p>
        </w:tc>
      </w:tr>
      <w:tr w:rsidR="000C0F43" w:rsidRPr="005D38E8">
        <w:tc>
          <w:tcPr>
            <w:tcW w:w="2518" w:type="dxa"/>
          </w:tcPr>
          <w:p w:rsidR="000C0F43" w:rsidRPr="005D38E8" w:rsidRDefault="00871CF7">
            <w:pPr>
              <w:rPr>
                <w:sz w:val="22"/>
                <w:szCs w:val="22"/>
              </w:rPr>
            </w:pPr>
            <w:r>
              <w:rPr>
                <w:sz w:val="22"/>
                <w:szCs w:val="22"/>
              </w:rPr>
              <w:t>Para 4.17A (p.133-4)</w:t>
            </w:r>
          </w:p>
        </w:tc>
        <w:tc>
          <w:tcPr>
            <w:tcW w:w="5998" w:type="dxa"/>
          </w:tcPr>
          <w:p w:rsidR="000C0F43" w:rsidRPr="005D38E8" w:rsidRDefault="00871CF7">
            <w:pPr>
              <w:rPr>
                <w:sz w:val="22"/>
                <w:szCs w:val="22"/>
              </w:rPr>
            </w:pPr>
            <w:r>
              <w:rPr>
                <w:sz w:val="22"/>
                <w:szCs w:val="22"/>
              </w:rPr>
              <w:t>New para inserted: ‘In the Central Activities Zone, the difference in office and residential land values has led to concern over the loss of office space to housing even though the area is exempt from government’s liberalization of Permitted Development rights. Though the development pipeline is sufficient to support demand for new provision, sustained loss of generally more affordable stock could erode the Zone’s strategic offer as a competitive, nationally important office location. The Mayor and boroughs will monitor these changes carefully across the CAZ. In light of this monitoring and where justified by local and strategic office need assessments, Boroughs should consider raising thresholds for application of mixed use Policy 4.3 to a level which will actively encourage office renewal but still contribute to housing provision. There is particular concern over the loss of smaller scale offices which are usually part of vibrant, mixed use localities. The Mayor supports boroughs in sustaining office capacity in these areas providing such action can be justified by strategic and local assessments of office need. Further guidance on implementation of this policy will be provided in the Central Activities Zone SPG.’</w:t>
            </w:r>
          </w:p>
        </w:tc>
      </w:tr>
      <w:tr w:rsidR="000C0F43" w:rsidRPr="005D38E8">
        <w:tc>
          <w:tcPr>
            <w:tcW w:w="2518" w:type="dxa"/>
          </w:tcPr>
          <w:p w:rsidR="000C0F43" w:rsidRPr="00F354B4" w:rsidRDefault="00F354B4">
            <w:pPr>
              <w:rPr>
                <w:sz w:val="22"/>
                <w:szCs w:val="22"/>
              </w:rPr>
            </w:pPr>
            <w:r>
              <w:rPr>
                <w:sz w:val="22"/>
                <w:szCs w:val="22"/>
              </w:rPr>
              <w:t>Map 4.1 (p.135)</w:t>
            </w:r>
          </w:p>
        </w:tc>
        <w:tc>
          <w:tcPr>
            <w:tcW w:w="5998" w:type="dxa"/>
          </w:tcPr>
          <w:p w:rsidR="000C0F43" w:rsidRDefault="00F354B4" w:rsidP="00F354B4">
            <w:pPr>
              <w:rPr>
                <w:sz w:val="22"/>
                <w:szCs w:val="22"/>
              </w:rPr>
            </w:pPr>
            <w:r>
              <w:rPr>
                <w:sz w:val="22"/>
                <w:szCs w:val="22"/>
              </w:rPr>
              <w:t>Map of borough level groups for transfer of industrial land to other uses. Two new categories have been introduced: Limited (with exceptional planned release) and Restricted (with exceptional planned release). Southwark is re-categorised from ‘Managed’ to ‘Limited (with exceptional planned release)’. Wandsworth and Hammersmith &amp; Fulham are re-categorised from Restricted to ‘Restricted (with exceptional planned release)’. Other changes:</w:t>
            </w:r>
          </w:p>
          <w:p w:rsidR="00F354B4" w:rsidRDefault="00F354B4" w:rsidP="00F354B4">
            <w:pPr>
              <w:pStyle w:val="ListParagraph"/>
              <w:numPr>
                <w:ilvl w:val="0"/>
                <w:numId w:val="1"/>
              </w:numPr>
              <w:rPr>
                <w:sz w:val="22"/>
                <w:szCs w:val="22"/>
              </w:rPr>
            </w:pPr>
            <w:r w:rsidRPr="00F354B4">
              <w:rPr>
                <w:sz w:val="22"/>
                <w:szCs w:val="22"/>
              </w:rPr>
              <w:t xml:space="preserve">Houslow re-categorised from </w:t>
            </w:r>
            <w:r>
              <w:rPr>
                <w:sz w:val="22"/>
                <w:szCs w:val="22"/>
              </w:rPr>
              <w:t>Restricted</w:t>
            </w:r>
            <w:r w:rsidRPr="00F354B4">
              <w:rPr>
                <w:sz w:val="22"/>
                <w:szCs w:val="22"/>
              </w:rPr>
              <w:t xml:space="preserve"> to Limited</w:t>
            </w:r>
          </w:p>
          <w:p w:rsidR="00F354B4" w:rsidRPr="00F354B4" w:rsidRDefault="00F354B4" w:rsidP="00F354B4">
            <w:pPr>
              <w:pStyle w:val="ListParagraph"/>
              <w:numPr>
                <w:ilvl w:val="0"/>
                <w:numId w:val="1"/>
              </w:numPr>
              <w:rPr>
                <w:sz w:val="22"/>
                <w:szCs w:val="22"/>
              </w:rPr>
            </w:pPr>
            <w:r>
              <w:rPr>
                <w:sz w:val="22"/>
                <w:szCs w:val="22"/>
              </w:rPr>
              <w:t>Greenwich re-categorised from Limited to Managed</w:t>
            </w:r>
          </w:p>
          <w:p w:rsidR="00F354B4" w:rsidRDefault="00F354B4" w:rsidP="00F354B4">
            <w:pPr>
              <w:pStyle w:val="ListParagraph"/>
              <w:numPr>
                <w:ilvl w:val="0"/>
                <w:numId w:val="1"/>
              </w:numPr>
              <w:rPr>
                <w:sz w:val="22"/>
                <w:szCs w:val="22"/>
              </w:rPr>
            </w:pPr>
            <w:r>
              <w:rPr>
                <w:sz w:val="22"/>
                <w:szCs w:val="22"/>
              </w:rPr>
              <w:t>Havering re-categorised from Managed to Limited</w:t>
            </w:r>
          </w:p>
          <w:p w:rsidR="00F354B4" w:rsidRPr="00F354B4" w:rsidRDefault="00F354B4" w:rsidP="00F354B4">
            <w:pPr>
              <w:pStyle w:val="ListParagraph"/>
              <w:numPr>
                <w:ilvl w:val="0"/>
                <w:numId w:val="1"/>
              </w:numPr>
              <w:rPr>
                <w:sz w:val="22"/>
                <w:szCs w:val="22"/>
              </w:rPr>
            </w:pPr>
            <w:r>
              <w:rPr>
                <w:sz w:val="22"/>
                <w:szCs w:val="22"/>
              </w:rPr>
              <w:t>Barking and Dagenham re-categorised from Managed to Limited</w:t>
            </w:r>
          </w:p>
        </w:tc>
      </w:tr>
      <w:tr w:rsidR="000C0F43" w:rsidRPr="005D38E8">
        <w:tc>
          <w:tcPr>
            <w:tcW w:w="2518" w:type="dxa"/>
          </w:tcPr>
          <w:p w:rsidR="000C0F43" w:rsidRPr="005D38E8" w:rsidRDefault="003A1447">
            <w:pPr>
              <w:rPr>
                <w:sz w:val="22"/>
                <w:szCs w:val="22"/>
              </w:rPr>
            </w:pPr>
            <w:r>
              <w:rPr>
                <w:sz w:val="22"/>
                <w:szCs w:val="22"/>
              </w:rPr>
              <w:t>Para 4.20 (p.135)</w:t>
            </w:r>
          </w:p>
        </w:tc>
        <w:tc>
          <w:tcPr>
            <w:tcW w:w="5998" w:type="dxa"/>
          </w:tcPr>
          <w:p w:rsidR="000C0F43" w:rsidRPr="005D38E8" w:rsidRDefault="00500E1B">
            <w:pPr>
              <w:rPr>
                <w:sz w:val="22"/>
                <w:szCs w:val="22"/>
              </w:rPr>
            </w:pPr>
            <w:r>
              <w:rPr>
                <w:sz w:val="22"/>
                <w:szCs w:val="22"/>
              </w:rPr>
              <w:t>Updated reference to Mayor’s Industrial Capacity SPG to Mayor’s Land for Industry and Transport SPG, published in 2012.</w:t>
            </w:r>
          </w:p>
        </w:tc>
      </w:tr>
      <w:tr w:rsidR="000C0F43" w:rsidRPr="005D38E8">
        <w:tc>
          <w:tcPr>
            <w:tcW w:w="2518" w:type="dxa"/>
          </w:tcPr>
          <w:p w:rsidR="000C0F43" w:rsidRPr="005D38E8" w:rsidRDefault="00500E1B">
            <w:pPr>
              <w:rPr>
                <w:sz w:val="22"/>
                <w:szCs w:val="22"/>
              </w:rPr>
            </w:pPr>
            <w:r>
              <w:rPr>
                <w:sz w:val="22"/>
                <w:szCs w:val="22"/>
              </w:rPr>
              <w:t>Para 4.21 (p.135-136)</w:t>
            </w:r>
          </w:p>
        </w:tc>
        <w:tc>
          <w:tcPr>
            <w:tcW w:w="5998" w:type="dxa"/>
          </w:tcPr>
          <w:p w:rsidR="000C0F43" w:rsidRPr="005D38E8" w:rsidRDefault="00500E1B">
            <w:pPr>
              <w:rPr>
                <w:sz w:val="22"/>
                <w:szCs w:val="22"/>
              </w:rPr>
            </w:pPr>
            <w:r>
              <w:rPr>
                <w:sz w:val="22"/>
                <w:szCs w:val="22"/>
              </w:rPr>
              <w:t>Updated text in light of Mayor’s Land for Industry and Transport SPG (published 2012) and updated Industrial Land Demand and Release Benchmarks (now 2011 not 2007). Reduces benchmark for release of industrial land across London from 41 ha to 37 ha, over period 2011-2031, rather than 2006-2026. Changes to areas highlighted for greatest transfer of industrial land from ‘east and parts of north London’ to ‘east and parts of inner west London, with more limited scope in north and outer west London’.</w:t>
            </w:r>
          </w:p>
        </w:tc>
      </w:tr>
      <w:tr w:rsidR="00B161E7" w:rsidRPr="005D38E8">
        <w:tc>
          <w:tcPr>
            <w:tcW w:w="2518" w:type="dxa"/>
          </w:tcPr>
          <w:p w:rsidR="00B161E7" w:rsidRPr="005D38E8" w:rsidRDefault="00500E1B">
            <w:pPr>
              <w:rPr>
                <w:sz w:val="22"/>
                <w:szCs w:val="22"/>
              </w:rPr>
            </w:pPr>
            <w:r>
              <w:rPr>
                <w:sz w:val="22"/>
                <w:szCs w:val="22"/>
              </w:rPr>
              <w:t>Para 4.22 (p.136)</w:t>
            </w:r>
          </w:p>
        </w:tc>
        <w:tc>
          <w:tcPr>
            <w:tcW w:w="5998" w:type="dxa"/>
          </w:tcPr>
          <w:p w:rsidR="00B161E7" w:rsidRPr="005D38E8" w:rsidRDefault="00500E1B">
            <w:pPr>
              <w:rPr>
                <w:sz w:val="22"/>
                <w:szCs w:val="22"/>
              </w:rPr>
            </w:pPr>
            <w:r>
              <w:rPr>
                <w:sz w:val="22"/>
                <w:szCs w:val="22"/>
              </w:rPr>
              <w:t>Adjusts London Plan timeframe from 2026 to 2031.</w:t>
            </w:r>
          </w:p>
        </w:tc>
      </w:tr>
      <w:tr w:rsidR="00B161E7" w:rsidRPr="005D38E8">
        <w:tc>
          <w:tcPr>
            <w:tcW w:w="2518" w:type="dxa"/>
          </w:tcPr>
          <w:p w:rsidR="00B161E7" w:rsidRPr="005D38E8" w:rsidRDefault="00500E1B">
            <w:pPr>
              <w:rPr>
                <w:sz w:val="22"/>
                <w:szCs w:val="22"/>
              </w:rPr>
            </w:pPr>
            <w:r>
              <w:rPr>
                <w:sz w:val="22"/>
                <w:szCs w:val="22"/>
              </w:rPr>
              <w:t>Para 4.23 (p.136)</w:t>
            </w:r>
          </w:p>
        </w:tc>
        <w:tc>
          <w:tcPr>
            <w:tcW w:w="5998" w:type="dxa"/>
          </w:tcPr>
          <w:p w:rsidR="00B161E7" w:rsidRPr="005D38E8" w:rsidRDefault="00500E1B">
            <w:pPr>
              <w:rPr>
                <w:sz w:val="22"/>
                <w:szCs w:val="22"/>
              </w:rPr>
            </w:pPr>
            <w:r>
              <w:rPr>
                <w:sz w:val="22"/>
                <w:szCs w:val="22"/>
              </w:rPr>
              <w:t>New sentence added: ‘Release of surplus industrial land should, as far as possible, be focused around public transport nodes to enable higher density redevelopment, especially for housing’. Also adjusts reference to release of land on edge of town centres to ‘In locations within or on the edges of town centres, surplus industrial land could be released to support wider town centre objectives (see Policy 2.15)’. Reference to ‘subject to other policies in the Plan’ has been removed.</w:t>
            </w:r>
          </w:p>
        </w:tc>
      </w:tr>
      <w:tr w:rsidR="00B161E7" w:rsidRPr="005D38E8">
        <w:tc>
          <w:tcPr>
            <w:tcW w:w="2518" w:type="dxa"/>
          </w:tcPr>
          <w:p w:rsidR="00B161E7" w:rsidRPr="005D38E8" w:rsidRDefault="00500E1B">
            <w:pPr>
              <w:rPr>
                <w:sz w:val="22"/>
                <w:szCs w:val="22"/>
              </w:rPr>
            </w:pPr>
            <w:r>
              <w:rPr>
                <w:sz w:val="22"/>
                <w:szCs w:val="22"/>
              </w:rPr>
              <w:t>POLICY 4.5 LONDON’S VISITOR INFRASTRUCTURE (P.136)</w:t>
            </w:r>
          </w:p>
        </w:tc>
        <w:tc>
          <w:tcPr>
            <w:tcW w:w="5998" w:type="dxa"/>
          </w:tcPr>
          <w:p w:rsidR="00B161E7" w:rsidRPr="005D38E8" w:rsidRDefault="00500E1B">
            <w:pPr>
              <w:rPr>
                <w:sz w:val="22"/>
                <w:szCs w:val="22"/>
              </w:rPr>
            </w:pPr>
            <w:r>
              <w:rPr>
                <w:sz w:val="22"/>
                <w:szCs w:val="22"/>
              </w:rPr>
              <w:t xml:space="preserve">Adjusts London Plan timeframe from 2026 to 2031 in relation to target for hotel bedrooms (no change to target). </w:t>
            </w:r>
          </w:p>
        </w:tc>
      </w:tr>
      <w:tr w:rsidR="00B161E7" w:rsidRPr="005D38E8">
        <w:tc>
          <w:tcPr>
            <w:tcW w:w="2518" w:type="dxa"/>
          </w:tcPr>
          <w:p w:rsidR="00B161E7" w:rsidRPr="005D38E8" w:rsidRDefault="00500E1B">
            <w:pPr>
              <w:rPr>
                <w:sz w:val="22"/>
                <w:szCs w:val="22"/>
              </w:rPr>
            </w:pPr>
            <w:r>
              <w:rPr>
                <w:sz w:val="22"/>
                <w:szCs w:val="22"/>
              </w:rPr>
              <w:t>Para 4.25 (p.138)</w:t>
            </w:r>
          </w:p>
        </w:tc>
        <w:tc>
          <w:tcPr>
            <w:tcW w:w="5998" w:type="dxa"/>
          </w:tcPr>
          <w:p w:rsidR="00B161E7" w:rsidRPr="005D38E8" w:rsidRDefault="00500E1B">
            <w:pPr>
              <w:rPr>
                <w:sz w:val="22"/>
                <w:szCs w:val="22"/>
              </w:rPr>
            </w:pPr>
            <w:r>
              <w:rPr>
                <w:sz w:val="22"/>
                <w:szCs w:val="22"/>
              </w:rPr>
              <w:t>Adjustments to figures quoted to describe visitor economy for 2012 rather than 2007 data: 28 (up from 26) million overnight visitors including 12 (up from 10) million from the UK; 297 (up from 130) million day visitors</w:t>
            </w:r>
            <w:r w:rsidR="00AF2813">
              <w:rPr>
                <w:sz w:val="22"/>
                <w:szCs w:val="22"/>
              </w:rPr>
              <w:t xml:space="preserve"> [due to wider definition used in new survey]. References updated to refer to Great Britain Tourism Survey and Great Britain Visitor Survey and GLA Economics report into visitor accommodation demand and supply til 2036, published 2013</w:t>
            </w:r>
          </w:p>
        </w:tc>
      </w:tr>
      <w:tr w:rsidR="00B161E7" w:rsidRPr="005D38E8">
        <w:tc>
          <w:tcPr>
            <w:tcW w:w="2518" w:type="dxa"/>
          </w:tcPr>
          <w:p w:rsidR="00B161E7" w:rsidRPr="005D38E8" w:rsidRDefault="00AF2813">
            <w:pPr>
              <w:rPr>
                <w:sz w:val="22"/>
                <w:szCs w:val="22"/>
              </w:rPr>
            </w:pPr>
            <w:r>
              <w:rPr>
                <w:sz w:val="22"/>
                <w:szCs w:val="22"/>
              </w:rPr>
              <w:t>Para 4.26 (p.137)</w:t>
            </w:r>
          </w:p>
        </w:tc>
        <w:tc>
          <w:tcPr>
            <w:tcW w:w="5998" w:type="dxa"/>
          </w:tcPr>
          <w:p w:rsidR="00B161E7" w:rsidRPr="005D38E8" w:rsidRDefault="00AF2813">
            <w:pPr>
              <w:rPr>
                <w:sz w:val="22"/>
                <w:szCs w:val="22"/>
              </w:rPr>
            </w:pPr>
            <w:r>
              <w:rPr>
                <w:sz w:val="22"/>
                <w:szCs w:val="22"/>
              </w:rPr>
              <w:t>Adjusts London Plan timeframe from 2026 to 2031 in relation to target for hotel bedrooms (no change to target).</w:t>
            </w:r>
          </w:p>
        </w:tc>
      </w:tr>
      <w:tr w:rsidR="00B161E7" w:rsidRPr="005D38E8">
        <w:tc>
          <w:tcPr>
            <w:tcW w:w="2518" w:type="dxa"/>
          </w:tcPr>
          <w:p w:rsidR="00B161E7" w:rsidRPr="005D38E8" w:rsidRDefault="00AF2813">
            <w:pPr>
              <w:rPr>
                <w:sz w:val="22"/>
                <w:szCs w:val="22"/>
              </w:rPr>
            </w:pPr>
            <w:r>
              <w:rPr>
                <w:sz w:val="22"/>
                <w:szCs w:val="22"/>
              </w:rPr>
              <w:t>Para 4.27 (p.138_</w:t>
            </w:r>
          </w:p>
        </w:tc>
        <w:tc>
          <w:tcPr>
            <w:tcW w:w="5998" w:type="dxa"/>
          </w:tcPr>
          <w:p w:rsidR="00B161E7" w:rsidRPr="005D38E8" w:rsidRDefault="00AF2813" w:rsidP="00AF2813">
            <w:pPr>
              <w:rPr>
                <w:sz w:val="22"/>
                <w:szCs w:val="22"/>
              </w:rPr>
            </w:pPr>
            <w:r>
              <w:rPr>
                <w:sz w:val="22"/>
                <w:szCs w:val="22"/>
              </w:rPr>
              <w:t>Updated to reflect guidance on accessibility in relation to hotel accommodation has been published in draft Town Centres SPG.</w:t>
            </w:r>
          </w:p>
        </w:tc>
      </w:tr>
      <w:tr w:rsidR="00B161E7" w:rsidRPr="005D38E8">
        <w:tc>
          <w:tcPr>
            <w:tcW w:w="2518" w:type="dxa"/>
          </w:tcPr>
          <w:p w:rsidR="00B161E7" w:rsidRPr="005D38E8" w:rsidRDefault="00AF2813">
            <w:pPr>
              <w:rPr>
                <w:sz w:val="22"/>
                <w:szCs w:val="22"/>
              </w:rPr>
            </w:pPr>
            <w:r>
              <w:rPr>
                <w:sz w:val="22"/>
                <w:szCs w:val="22"/>
              </w:rPr>
              <w:t>Para 4.32 (p.140)</w:t>
            </w:r>
          </w:p>
        </w:tc>
        <w:tc>
          <w:tcPr>
            <w:tcW w:w="5998" w:type="dxa"/>
          </w:tcPr>
          <w:p w:rsidR="00B161E7" w:rsidRPr="005D38E8" w:rsidRDefault="00AA37F1">
            <w:pPr>
              <w:rPr>
                <w:sz w:val="22"/>
                <w:szCs w:val="22"/>
              </w:rPr>
            </w:pPr>
            <w:r>
              <w:rPr>
                <w:sz w:val="22"/>
                <w:szCs w:val="22"/>
              </w:rPr>
              <w:t>Updated to reflect guidance on how to identify areas with deficiencies in arts and cultural facilities has been published in draft Town Centres SPG.</w:t>
            </w:r>
          </w:p>
        </w:tc>
      </w:tr>
      <w:tr w:rsidR="00B161E7" w:rsidRPr="005D38E8">
        <w:tc>
          <w:tcPr>
            <w:tcW w:w="2518" w:type="dxa"/>
          </w:tcPr>
          <w:p w:rsidR="00B161E7" w:rsidRPr="005D38E8" w:rsidRDefault="00AA37F1">
            <w:pPr>
              <w:rPr>
                <w:sz w:val="22"/>
                <w:szCs w:val="22"/>
              </w:rPr>
            </w:pPr>
            <w:r>
              <w:rPr>
                <w:sz w:val="22"/>
                <w:szCs w:val="22"/>
              </w:rPr>
              <w:t>Map 4.3 (p.142)</w:t>
            </w:r>
          </w:p>
        </w:tc>
        <w:tc>
          <w:tcPr>
            <w:tcW w:w="5998" w:type="dxa"/>
          </w:tcPr>
          <w:p w:rsidR="00B161E7" w:rsidRPr="005D38E8" w:rsidRDefault="001E5A83" w:rsidP="001E5A83">
            <w:pPr>
              <w:rPr>
                <w:sz w:val="22"/>
                <w:szCs w:val="22"/>
              </w:rPr>
            </w:pPr>
            <w:r>
              <w:rPr>
                <w:sz w:val="22"/>
                <w:szCs w:val="22"/>
              </w:rPr>
              <w:t>Map of night-time economy clusters of strategic importance has been updated. Only change I could identify was a new cluster of specialist provision of more than local importance in south of Redbridge.</w:t>
            </w:r>
          </w:p>
        </w:tc>
      </w:tr>
      <w:tr w:rsidR="00B161E7" w:rsidRPr="005D38E8">
        <w:tc>
          <w:tcPr>
            <w:tcW w:w="2518" w:type="dxa"/>
          </w:tcPr>
          <w:p w:rsidR="00B161E7" w:rsidRPr="005D38E8" w:rsidRDefault="001E5A83">
            <w:pPr>
              <w:rPr>
                <w:sz w:val="22"/>
                <w:szCs w:val="22"/>
              </w:rPr>
            </w:pPr>
            <w:r>
              <w:rPr>
                <w:sz w:val="22"/>
                <w:szCs w:val="22"/>
              </w:rPr>
              <w:t>Para 4.38 (p.142)</w:t>
            </w:r>
          </w:p>
        </w:tc>
        <w:tc>
          <w:tcPr>
            <w:tcW w:w="5998" w:type="dxa"/>
          </w:tcPr>
          <w:p w:rsidR="00B161E7" w:rsidRPr="005D38E8" w:rsidRDefault="001E5A83">
            <w:pPr>
              <w:rPr>
                <w:sz w:val="22"/>
                <w:szCs w:val="22"/>
              </w:rPr>
            </w:pPr>
            <w:r>
              <w:rPr>
                <w:sz w:val="22"/>
                <w:szCs w:val="22"/>
              </w:rPr>
              <w:t>Reference to managing night time economy updated to reflect publication of draft Town Centres SPG.</w:t>
            </w:r>
          </w:p>
        </w:tc>
      </w:tr>
      <w:tr w:rsidR="00B161E7" w:rsidRPr="005D38E8">
        <w:tc>
          <w:tcPr>
            <w:tcW w:w="2518" w:type="dxa"/>
          </w:tcPr>
          <w:p w:rsidR="00B161E7" w:rsidRPr="005D38E8" w:rsidRDefault="001E5A83">
            <w:pPr>
              <w:rPr>
                <w:sz w:val="22"/>
                <w:szCs w:val="22"/>
              </w:rPr>
            </w:pPr>
            <w:r>
              <w:rPr>
                <w:sz w:val="22"/>
                <w:szCs w:val="22"/>
              </w:rPr>
              <w:t>POLICY 4.7 RETAIL AND TOWN CENTRE DEVELOPMENT (P.143)</w:t>
            </w:r>
          </w:p>
        </w:tc>
        <w:tc>
          <w:tcPr>
            <w:tcW w:w="5998" w:type="dxa"/>
          </w:tcPr>
          <w:p w:rsidR="001E5A83" w:rsidRPr="005D38E8" w:rsidRDefault="001E5A83" w:rsidP="001E5A83">
            <w:pPr>
              <w:rPr>
                <w:sz w:val="22"/>
                <w:szCs w:val="22"/>
              </w:rPr>
            </w:pPr>
            <w:r>
              <w:rPr>
                <w:sz w:val="22"/>
                <w:szCs w:val="22"/>
              </w:rPr>
              <w:t>Amendment to bullet point on identification of commercial floorspace need by boroughs in preparing LDFs, inserting reference to identifying ‘where appropriate consolidation of surplus floorspace – see Policy 2.15)’.</w:t>
            </w:r>
          </w:p>
          <w:p w:rsidR="001E5A83" w:rsidRPr="005D38E8" w:rsidRDefault="001E5A83">
            <w:pPr>
              <w:rPr>
                <w:sz w:val="22"/>
                <w:szCs w:val="22"/>
              </w:rPr>
            </w:pPr>
          </w:p>
        </w:tc>
      </w:tr>
      <w:tr w:rsidR="00B161E7" w:rsidRPr="005D38E8">
        <w:tc>
          <w:tcPr>
            <w:tcW w:w="2518" w:type="dxa"/>
          </w:tcPr>
          <w:p w:rsidR="00B161E7" w:rsidRPr="005D38E8" w:rsidRDefault="001E5A83">
            <w:pPr>
              <w:rPr>
                <w:sz w:val="22"/>
                <w:szCs w:val="22"/>
              </w:rPr>
            </w:pPr>
            <w:r>
              <w:rPr>
                <w:sz w:val="22"/>
                <w:szCs w:val="22"/>
              </w:rPr>
              <w:t>Para 4.40 (p.143)</w:t>
            </w:r>
          </w:p>
        </w:tc>
        <w:tc>
          <w:tcPr>
            <w:tcW w:w="5998" w:type="dxa"/>
          </w:tcPr>
          <w:p w:rsidR="00B161E7" w:rsidRPr="005D38E8" w:rsidRDefault="00A914FF" w:rsidP="00A914FF">
            <w:pPr>
              <w:rPr>
                <w:sz w:val="22"/>
                <w:szCs w:val="22"/>
              </w:rPr>
            </w:pPr>
            <w:r>
              <w:rPr>
                <w:sz w:val="22"/>
                <w:szCs w:val="22"/>
              </w:rPr>
              <w:t xml:space="preserve">Significant amendments to take account of long-term expectations of contraction in floorspace growth relative to past expectations (see Policy 2.15). Comparison goods retail is expected to grow for 3% per annum from 2011 to 2036, generating a need for ‘an additional 0.4  -1.6 million sq.m of comparison goods retail floorspace by 2036’ (previously 1.8-2.9 million sq.m anticipated by 2031). References Experian Business Strategies report 2013, updated from 2009, which bases its estimates on an assumption of 1.9% growth in floorspace productivity per annum. </w:t>
            </w:r>
          </w:p>
        </w:tc>
      </w:tr>
      <w:tr w:rsidR="00B161E7" w:rsidRPr="005D38E8">
        <w:tc>
          <w:tcPr>
            <w:tcW w:w="2518" w:type="dxa"/>
          </w:tcPr>
          <w:p w:rsidR="00B161E7" w:rsidRPr="005D38E8" w:rsidRDefault="00A914FF">
            <w:pPr>
              <w:rPr>
                <w:sz w:val="22"/>
                <w:szCs w:val="22"/>
              </w:rPr>
            </w:pPr>
            <w:r>
              <w:rPr>
                <w:sz w:val="22"/>
                <w:szCs w:val="22"/>
              </w:rPr>
              <w:t>Para 4.42 (p.144)</w:t>
            </w:r>
          </w:p>
        </w:tc>
        <w:tc>
          <w:tcPr>
            <w:tcW w:w="5998" w:type="dxa"/>
          </w:tcPr>
          <w:p w:rsidR="00B161E7" w:rsidRPr="005D38E8" w:rsidRDefault="00A914FF">
            <w:pPr>
              <w:rPr>
                <w:sz w:val="22"/>
                <w:szCs w:val="22"/>
              </w:rPr>
            </w:pPr>
            <w:r>
              <w:rPr>
                <w:sz w:val="22"/>
                <w:szCs w:val="22"/>
              </w:rPr>
              <w:t>Households convenience retail spend expected to rise by 2.2 per cent per annum, rather than 1.5 per annum. Reference again to the updated Experian study.</w:t>
            </w:r>
          </w:p>
        </w:tc>
      </w:tr>
      <w:tr w:rsidR="00B161E7" w:rsidRPr="005D38E8">
        <w:tc>
          <w:tcPr>
            <w:tcW w:w="2518" w:type="dxa"/>
          </w:tcPr>
          <w:p w:rsidR="00B161E7" w:rsidRPr="005D38E8" w:rsidRDefault="00A914FF">
            <w:pPr>
              <w:rPr>
                <w:sz w:val="22"/>
                <w:szCs w:val="22"/>
              </w:rPr>
            </w:pPr>
            <w:r>
              <w:rPr>
                <w:sz w:val="22"/>
                <w:szCs w:val="22"/>
              </w:rPr>
              <w:t>Para 4.42A (p.144)</w:t>
            </w:r>
          </w:p>
        </w:tc>
        <w:tc>
          <w:tcPr>
            <w:tcW w:w="5998" w:type="dxa"/>
          </w:tcPr>
          <w:p w:rsidR="00B161E7" w:rsidRPr="005D38E8" w:rsidRDefault="00A914FF" w:rsidP="00A914FF">
            <w:pPr>
              <w:rPr>
                <w:sz w:val="22"/>
                <w:szCs w:val="22"/>
              </w:rPr>
            </w:pPr>
            <w:r>
              <w:rPr>
                <w:sz w:val="22"/>
                <w:szCs w:val="22"/>
              </w:rPr>
              <w:t>New para: ‘Reflecting wider trends in retailing highlighted in the Mary Portas report and in the work of the Outer London Commission, the London-wide retail need assessment suggests that in some parts of the capital there may be an overall surplus provision of retail floorspace relative to demand, especially if the pipeline of permitted schemes is implemented. Policy 2.15 shows how this might be addressed through opportunities for mixed use, high density, housing led redevelopment. Underlying demand for modern forms of retailing will also provide such opportunities, even in centres which do not appear to have surplus provision.’</w:t>
            </w:r>
          </w:p>
        </w:tc>
      </w:tr>
      <w:tr w:rsidR="00B161E7" w:rsidRPr="005D38E8">
        <w:tc>
          <w:tcPr>
            <w:tcW w:w="2518" w:type="dxa"/>
          </w:tcPr>
          <w:p w:rsidR="00B161E7" w:rsidRPr="005D38E8" w:rsidRDefault="00A914FF">
            <w:pPr>
              <w:rPr>
                <w:sz w:val="22"/>
                <w:szCs w:val="22"/>
              </w:rPr>
            </w:pPr>
            <w:r>
              <w:rPr>
                <w:sz w:val="22"/>
                <w:szCs w:val="22"/>
              </w:rPr>
              <w:t>Para 4.42b (p.144)</w:t>
            </w:r>
          </w:p>
        </w:tc>
        <w:tc>
          <w:tcPr>
            <w:tcW w:w="5998" w:type="dxa"/>
          </w:tcPr>
          <w:p w:rsidR="00B161E7" w:rsidRPr="005D38E8" w:rsidRDefault="00A914FF">
            <w:pPr>
              <w:rPr>
                <w:sz w:val="22"/>
                <w:szCs w:val="22"/>
              </w:rPr>
            </w:pPr>
            <w:r>
              <w:rPr>
                <w:sz w:val="22"/>
                <w:szCs w:val="22"/>
              </w:rPr>
              <w:t>New para: ‘Taking into account both strategic and retail capacity assessments, provision for future demand should be managed carefully in local plans for individual centres and include policies for primary shopping areas and primary and secondary frontages in the context of wider town centre management and initiatives (see Policy 2.15). When considering proposals for prior approval of changes from retail to residential and other associated works, account should be taken of their impact on design, the economic health of the centre, provision of essential local services and the character of the local area as well as broader strategic concerns outlined in Policy 2.15 and 4.7.</w:t>
            </w:r>
          </w:p>
        </w:tc>
      </w:tr>
      <w:tr w:rsidR="00B161E7" w:rsidRPr="005D38E8">
        <w:tc>
          <w:tcPr>
            <w:tcW w:w="2518" w:type="dxa"/>
          </w:tcPr>
          <w:p w:rsidR="00B161E7" w:rsidRPr="005D38E8" w:rsidRDefault="00A914FF">
            <w:pPr>
              <w:rPr>
                <w:sz w:val="22"/>
                <w:szCs w:val="22"/>
              </w:rPr>
            </w:pPr>
            <w:r>
              <w:rPr>
                <w:sz w:val="22"/>
                <w:szCs w:val="22"/>
              </w:rPr>
              <w:t>Para 4.43 (p.144)</w:t>
            </w:r>
          </w:p>
        </w:tc>
        <w:tc>
          <w:tcPr>
            <w:tcW w:w="5998" w:type="dxa"/>
          </w:tcPr>
          <w:p w:rsidR="00B161E7" w:rsidRPr="008C45FC" w:rsidRDefault="00445AE3">
            <w:pPr>
              <w:rPr>
                <w:sz w:val="22"/>
                <w:szCs w:val="22"/>
              </w:rPr>
            </w:pPr>
            <w:r>
              <w:rPr>
                <w:sz w:val="22"/>
                <w:szCs w:val="22"/>
              </w:rPr>
              <w:t>Inserted text to Mayor’s policy of managing growth within and on edges of town centres</w:t>
            </w:r>
            <w:r w:rsidR="008C45FC">
              <w:rPr>
                <w:sz w:val="22"/>
                <w:szCs w:val="22"/>
              </w:rPr>
              <w:t xml:space="preserve">: ‘the Mayor supports a proactive approach to </w:t>
            </w:r>
            <w:r w:rsidR="008C45FC">
              <w:rPr>
                <w:b/>
                <w:sz w:val="22"/>
                <w:szCs w:val="22"/>
              </w:rPr>
              <w:t xml:space="preserve">improving the quality of retail floorspace and </w:t>
            </w:r>
            <w:r w:rsidR="008C45FC">
              <w:rPr>
                <w:sz w:val="22"/>
                <w:szCs w:val="22"/>
              </w:rPr>
              <w:t xml:space="preserve">managing growth </w:t>
            </w:r>
            <w:r w:rsidR="008C45FC">
              <w:rPr>
                <w:b/>
                <w:sz w:val="22"/>
                <w:szCs w:val="22"/>
              </w:rPr>
              <w:t>(or consolidation where there is surplus floorspace)</w:t>
            </w:r>
            <w:r w:rsidR="008C45FC">
              <w:rPr>
                <w:sz w:val="22"/>
                <w:szCs w:val="22"/>
              </w:rPr>
              <w:t>’ (additions in bold).</w:t>
            </w:r>
          </w:p>
        </w:tc>
      </w:tr>
      <w:tr w:rsidR="00B161E7" w:rsidRPr="005D38E8">
        <w:tc>
          <w:tcPr>
            <w:tcW w:w="2518" w:type="dxa"/>
          </w:tcPr>
          <w:p w:rsidR="00B161E7" w:rsidRPr="008C45FC" w:rsidRDefault="008C45FC">
            <w:pPr>
              <w:rPr>
                <w:b/>
                <w:sz w:val="22"/>
                <w:szCs w:val="22"/>
              </w:rPr>
            </w:pPr>
            <w:r>
              <w:rPr>
                <w:sz w:val="22"/>
                <w:szCs w:val="22"/>
              </w:rPr>
              <w:t xml:space="preserve">POLICY 4.8: SUPPORTING A SUCCESSFUL AND DIVERSE RETAIL SECTOR </w:t>
            </w:r>
            <w:r>
              <w:rPr>
                <w:b/>
                <w:sz w:val="22"/>
                <w:szCs w:val="22"/>
              </w:rPr>
              <w:t xml:space="preserve">AND RELATED FACILITIES AND SERVICES </w:t>
            </w:r>
            <w:r w:rsidRPr="008C45FC">
              <w:rPr>
                <w:sz w:val="22"/>
                <w:szCs w:val="22"/>
              </w:rPr>
              <w:t>(p.145</w:t>
            </w:r>
            <w:r>
              <w:rPr>
                <w:sz w:val="22"/>
                <w:szCs w:val="22"/>
              </w:rPr>
              <w:t>-6</w:t>
            </w:r>
            <w:r w:rsidRPr="008C45FC">
              <w:rPr>
                <w:sz w:val="22"/>
                <w:szCs w:val="22"/>
              </w:rPr>
              <w:t>)</w:t>
            </w:r>
          </w:p>
        </w:tc>
        <w:tc>
          <w:tcPr>
            <w:tcW w:w="5998" w:type="dxa"/>
          </w:tcPr>
          <w:p w:rsidR="00B161E7" w:rsidRDefault="008C45FC">
            <w:pPr>
              <w:rPr>
                <w:sz w:val="22"/>
                <w:szCs w:val="22"/>
              </w:rPr>
            </w:pPr>
            <w:r>
              <w:rPr>
                <w:sz w:val="22"/>
                <w:szCs w:val="22"/>
              </w:rPr>
              <w:t>Title expanded, and introduction to bullet points on LDF preparation expanded similarly to ‘planning for retailing and related facilities and services’.</w:t>
            </w:r>
          </w:p>
          <w:p w:rsidR="008C45FC" w:rsidRDefault="008C45FC">
            <w:pPr>
              <w:rPr>
                <w:sz w:val="22"/>
                <w:szCs w:val="22"/>
              </w:rPr>
            </w:pPr>
          </w:p>
          <w:p w:rsidR="008C45FC" w:rsidRDefault="008C45FC">
            <w:pPr>
              <w:rPr>
                <w:sz w:val="22"/>
                <w:szCs w:val="22"/>
              </w:rPr>
            </w:pPr>
            <w:r>
              <w:rPr>
                <w:sz w:val="22"/>
                <w:szCs w:val="22"/>
              </w:rPr>
              <w:t xml:space="preserve">One bullet point on LDF preparation extended to include community assets: ‘provide a policy framework for maintaining, managing and enhancing local and neighbourhood shopping and facilities which provide local goods and services, and develop policies to prevent the loss of retail and related services that provide essential convenience and specialist shopping </w:t>
            </w:r>
            <w:r>
              <w:rPr>
                <w:b/>
                <w:sz w:val="22"/>
                <w:szCs w:val="22"/>
              </w:rPr>
              <w:t>or valued local community assets justified by robust evidence</w:t>
            </w:r>
            <w:r>
              <w:rPr>
                <w:sz w:val="22"/>
                <w:szCs w:val="22"/>
              </w:rPr>
              <w:t>’ (new text in bold).</w:t>
            </w:r>
          </w:p>
          <w:p w:rsidR="008C45FC" w:rsidRDefault="008C45FC">
            <w:pPr>
              <w:rPr>
                <w:sz w:val="22"/>
                <w:szCs w:val="22"/>
              </w:rPr>
            </w:pPr>
          </w:p>
          <w:p w:rsidR="008C45FC" w:rsidRDefault="008C45FC">
            <w:pPr>
              <w:rPr>
                <w:sz w:val="22"/>
                <w:szCs w:val="22"/>
              </w:rPr>
            </w:pPr>
            <w:r>
              <w:rPr>
                <w:sz w:val="22"/>
                <w:szCs w:val="22"/>
              </w:rPr>
              <w:t>New bullet point on:</w:t>
            </w:r>
          </w:p>
          <w:p w:rsidR="008C45FC" w:rsidRDefault="008C45FC">
            <w:pPr>
              <w:rPr>
                <w:sz w:val="22"/>
                <w:szCs w:val="22"/>
              </w:rPr>
            </w:pPr>
            <w:r>
              <w:rPr>
                <w:sz w:val="22"/>
                <w:szCs w:val="22"/>
              </w:rPr>
              <w:t>‘g. manage clusters of uses having regard to their positive and negative impacts on the objectives, policies and priorities of the London Plan including a centre’s:</w:t>
            </w:r>
          </w:p>
          <w:p w:rsidR="008C45FC" w:rsidRPr="008C45FC" w:rsidRDefault="008C45FC" w:rsidP="008C45FC">
            <w:pPr>
              <w:pStyle w:val="ListParagraph"/>
              <w:numPr>
                <w:ilvl w:val="0"/>
                <w:numId w:val="2"/>
              </w:numPr>
              <w:rPr>
                <w:sz w:val="22"/>
                <w:szCs w:val="22"/>
              </w:rPr>
            </w:pPr>
            <w:r w:rsidRPr="008C45FC">
              <w:rPr>
                <w:sz w:val="22"/>
                <w:szCs w:val="22"/>
              </w:rPr>
              <w:t>broader vitality and viability (Policy 2.15Ca)</w:t>
            </w:r>
          </w:p>
          <w:p w:rsidR="008C45FC" w:rsidRDefault="008C45FC" w:rsidP="008C45FC">
            <w:pPr>
              <w:pStyle w:val="ListParagraph"/>
              <w:numPr>
                <w:ilvl w:val="0"/>
                <w:numId w:val="2"/>
              </w:numPr>
              <w:rPr>
                <w:sz w:val="22"/>
                <w:szCs w:val="22"/>
              </w:rPr>
            </w:pPr>
            <w:r>
              <w:rPr>
                <w:sz w:val="22"/>
                <w:szCs w:val="22"/>
              </w:rPr>
              <w:t>broader competitiveness, quality or diversity of offer (Policy 2.15Cc)</w:t>
            </w:r>
          </w:p>
          <w:p w:rsidR="008C45FC" w:rsidRDefault="008C45FC" w:rsidP="008C45FC">
            <w:pPr>
              <w:pStyle w:val="ListParagraph"/>
              <w:numPr>
                <w:ilvl w:val="0"/>
                <w:numId w:val="2"/>
              </w:numPr>
              <w:rPr>
                <w:sz w:val="22"/>
                <w:szCs w:val="22"/>
              </w:rPr>
            </w:pPr>
            <w:r>
              <w:rPr>
                <w:sz w:val="22"/>
                <w:szCs w:val="22"/>
              </w:rPr>
              <w:t>sense of place or local identity (Policy 2.15Ac)</w:t>
            </w:r>
          </w:p>
          <w:p w:rsidR="008C45FC" w:rsidRDefault="008C45FC" w:rsidP="008C45FC">
            <w:pPr>
              <w:pStyle w:val="ListParagraph"/>
              <w:numPr>
                <w:ilvl w:val="0"/>
                <w:numId w:val="2"/>
              </w:numPr>
              <w:rPr>
                <w:sz w:val="22"/>
                <w:szCs w:val="22"/>
              </w:rPr>
            </w:pPr>
            <w:r>
              <w:rPr>
                <w:sz w:val="22"/>
                <w:szCs w:val="22"/>
              </w:rPr>
              <w:t>community safety or security (Policy 2.15Cf)</w:t>
            </w:r>
          </w:p>
          <w:p w:rsidR="008C45FC" w:rsidRDefault="008C45FC" w:rsidP="008C45FC">
            <w:pPr>
              <w:pStyle w:val="ListParagraph"/>
              <w:numPr>
                <w:ilvl w:val="0"/>
                <w:numId w:val="2"/>
              </w:numPr>
              <w:rPr>
                <w:sz w:val="22"/>
                <w:szCs w:val="22"/>
              </w:rPr>
            </w:pPr>
            <w:r>
              <w:rPr>
                <w:sz w:val="22"/>
                <w:szCs w:val="22"/>
              </w:rPr>
              <w:t>success and diversity of its broader retail sector (Policy 4.8A)</w:t>
            </w:r>
          </w:p>
          <w:p w:rsidR="008C45FC" w:rsidRPr="008C45FC" w:rsidRDefault="008C45FC" w:rsidP="008C45FC">
            <w:pPr>
              <w:pStyle w:val="ListParagraph"/>
              <w:numPr>
                <w:ilvl w:val="0"/>
                <w:numId w:val="2"/>
              </w:numPr>
              <w:rPr>
                <w:sz w:val="22"/>
                <w:szCs w:val="22"/>
              </w:rPr>
            </w:pPr>
            <w:r>
              <w:rPr>
                <w:sz w:val="22"/>
                <w:szCs w:val="22"/>
              </w:rPr>
              <w:t>potential for applying a strategic approach to transport and land use planning by increasing the scope for “linked trips” (Policy 6.1).’</w:t>
            </w:r>
          </w:p>
        </w:tc>
      </w:tr>
      <w:tr w:rsidR="00B161E7" w:rsidRPr="005D38E8">
        <w:tc>
          <w:tcPr>
            <w:tcW w:w="2518" w:type="dxa"/>
          </w:tcPr>
          <w:p w:rsidR="00B161E7" w:rsidRPr="005D38E8" w:rsidRDefault="008C45FC">
            <w:pPr>
              <w:rPr>
                <w:sz w:val="22"/>
                <w:szCs w:val="22"/>
              </w:rPr>
            </w:pPr>
            <w:r>
              <w:rPr>
                <w:sz w:val="22"/>
                <w:szCs w:val="22"/>
              </w:rPr>
              <w:t>Para 4.48A (p.146)</w:t>
            </w:r>
          </w:p>
        </w:tc>
        <w:tc>
          <w:tcPr>
            <w:tcW w:w="5998" w:type="dxa"/>
          </w:tcPr>
          <w:p w:rsidR="00B161E7" w:rsidRPr="005D38E8" w:rsidRDefault="00EA6E64">
            <w:pPr>
              <w:rPr>
                <w:sz w:val="22"/>
                <w:szCs w:val="22"/>
              </w:rPr>
            </w:pPr>
            <w:r>
              <w:rPr>
                <w:sz w:val="22"/>
                <w:szCs w:val="22"/>
              </w:rPr>
              <w:t>‘The Mayor recognises the important role that London’s public houses can play in the social fabric of communities and recent research [footnote report of London Assembly Conservative Group, 2013, on saving London’s pubs] highlights the rapid rate of closures over the past decade and the factors behind these. To address these concerns, where there is sufficient evidence of need, community asset value and viability in pub use, boroughs are encouraged to bring forward policies to maintain, manage and enhance public houses.’</w:t>
            </w:r>
          </w:p>
        </w:tc>
      </w:tr>
      <w:tr w:rsidR="00B161E7" w:rsidRPr="005D38E8">
        <w:tc>
          <w:tcPr>
            <w:tcW w:w="2518" w:type="dxa"/>
          </w:tcPr>
          <w:p w:rsidR="00B161E7" w:rsidRPr="005D38E8" w:rsidRDefault="00EA6E64">
            <w:pPr>
              <w:rPr>
                <w:sz w:val="22"/>
                <w:szCs w:val="22"/>
              </w:rPr>
            </w:pPr>
            <w:r>
              <w:rPr>
                <w:sz w:val="22"/>
                <w:szCs w:val="22"/>
              </w:rPr>
              <w:t>Para 4.50A (p.147)</w:t>
            </w:r>
          </w:p>
        </w:tc>
        <w:tc>
          <w:tcPr>
            <w:tcW w:w="5998" w:type="dxa"/>
          </w:tcPr>
          <w:p w:rsidR="00B161E7" w:rsidRPr="005D38E8" w:rsidRDefault="00EA6E64">
            <w:pPr>
              <w:rPr>
                <w:sz w:val="22"/>
                <w:szCs w:val="22"/>
              </w:rPr>
            </w:pPr>
            <w:r>
              <w:rPr>
                <w:sz w:val="22"/>
                <w:szCs w:val="22"/>
              </w:rPr>
              <w:t>New para: ‘It is important that the planning system is used to help manage clusters of uses to provide diverse and more vital and viable town centres. The London Plan supports and promotes the contribution to London’s economy made by specialist clusters of economic activity. For instance, clustering of particular leisure uses in town centres can provide a visitor attraction, promote regeneration and boost economic growth and employment, provided it is managed effectively and does not reach saturation levels beyond which it has unacceptable negative impacts on a centre’s vitality, viability, amenity and associated community safety. In such circumstances, planning can help manage such negative impacts. Over-concentrations of betting shops and hit food takeaways can give rise to particular concerns. Further guidance on implementing this aspect of Policy 4.8 is provided in the Town Centres SPG.</w:t>
            </w:r>
          </w:p>
        </w:tc>
      </w:tr>
      <w:tr w:rsidR="00B161E7" w:rsidRPr="005D38E8">
        <w:tc>
          <w:tcPr>
            <w:tcW w:w="2518" w:type="dxa"/>
          </w:tcPr>
          <w:p w:rsidR="00B161E7" w:rsidRPr="005D38E8" w:rsidRDefault="00795656">
            <w:pPr>
              <w:rPr>
                <w:sz w:val="22"/>
                <w:szCs w:val="22"/>
              </w:rPr>
            </w:pPr>
            <w:r>
              <w:rPr>
                <w:sz w:val="22"/>
                <w:szCs w:val="22"/>
              </w:rPr>
              <w:t>Para 4.52 (p.148)</w:t>
            </w:r>
          </w:p>
        </w:tc>
        <w:tc>
          <w:tcPr>
            <w:tcW w:w="5998" w:type="dxa"/>
          </w:tcPr>
          <w:p w:rsidR="00B161E7" w:rsidRPr="005D38E8" w:rsidRDefault="00795656">
            <w:pPr>
              <w:rPr>
                <w:sz w:val="22"/>
                <w:szCs w:val="22"/>
              </w:rPr>
            </w:pPr>
            <w:r>
              <w:rPr>
                <w:sz w:val="22"/>
                <w:szCs w:val="22"/>
              </w:rPr>
              <w:t>Updated to reflect publication of Town Centres SPG.</w:t>
            </w:r>
          </w:p>
        </w:tc>
      </w:tr>
      <w:tr w:rsidR="00B161E7" w:rsidRPr="005D38E8">
        <w:tc>
          <w:tcPr>
            <w:tcW w:w="2518" w:type="dxa"/>
          </w:tcPr>
          <w:p w:rsidR="00B161E7" w:rsidRPr="005D38E8" w:rsidRDefault="00D7749D">
            <w:pPr>
              <w:rPr>
                <w:sz w:val="22"/>
                <w:szCs w:val="22"/>
              </w:rPr>
            </w:pPr>
            <w:r>
              <w:rPr>
                <w:sz w:val="22"/>
                <w:szCs w:val="22"/>
              </w:rPr>
              <w:t>POLICY 4.10: NEW AND EMERGING ECONOMIC SECTORS (p.148-9)</w:t>
            </w:r>
          </w:p>
        </w:tc>
        <w:tc>
          <w:tcPr>
            <w:tcW w:w="5998" w:type="dxa"/>
          </w:tcPr>
          <w:p w:rsidR="00B161E7" w:rsidRDefault="00D7749D">
            <w:pPr>
              <w:rPr>
                <w:b/>
                <w:sz w:val="22"/>
                <w:szCs w:val="22"/>
              </w:rPr>
            </w:pPr>
            <w:r>
              <w:rPr>
                <w:sz w:val="22"/>
                <w:szCs w:val="22"/>
              </w:rPr>
              <w:t xml:space="preserve">Insertions to bullet point under strategic element of policy, saying that the Mayor, boroughs and other stakeholders will: ‘work with </w:t>
            </w:r>
            <w:r>
              <w:rPr>
                <w:b/>
                <w:sz w:val="22"/>
                <w:szCs w:val="22"/>
              </w:rPr>
              <w:t xml:space="preserve">developers, </w:t>
            </w:r>
            <w:r>
              <w:rPr>
                <w:sz w:val="22"/>
                <w:szCs w:val="22"/>
              </w:rPr>
              <w:t>businesses and, where appropriate, higher education institutions and other relevant research and innovation</w:t>
            </w:r>
            <w:r>
              <w:rPr>
                <w:b/>
                <w:sz w:val="22"/>
                <w:szCs w:val="22"/>
              </w:rPr>
              <w:t xml:space="preserve"> </w:t>
            </w:r>
            <w:r>
              <w:rPr>
                <w:sz w:val="22"/>
                <w:szCs w:val="22"/>
              </w:rPr>
              <w:t xml:space="preserve">agencies to ensure availability of </w:t>
            </w:r>
            <w:r>
              <w:rPr>
                <w:b/>
                <w:sz w:val="22"/>
                <w:szCs w:val="22"/>
              </w:rPr>
              <w:t xml:space="preserve">a range of </w:t>
            </w:r>
            <w:r>
              <w:rPr>
                <w:sz w:val="22"/>
                <w:szCs w:val="22"/>
              </w:rPr>
              <w:t>workspaces</w:t>
            </w:r>
            <w:r>
              <w:rPr>
                <w:b/>
                <w:sz w:val="22"/>
                <w:szCs w:val="22"/>
              </w:rPr>
              <w:t>, including start-up space, co-working space and ‘grow-on’ space’.</w:t>
            </w:r>
          </w:p>
          <w:p w:rsidR="00D7749D" w:rsidRPr="00D7749D" w:rsidRDefault="00D7749D">
            <w:pPr>
              <w:rPr>
                <w:sz w:val="22"/>
                <w:szCs w:val="22"/>
              </w:rPr>
            </w:pPr>
            <w:r>
              <w:rPr>
                <w:sz w:val="22"/>
                <w:szCs w:val="22"/>
              </w:rPr>
              <w:t>New bullet point on ‘support the evolution of London’s science, technology, media and telecommunications (TMT) sector, promote clusters such as Tech City and Med City [reference added in footnote to ‘Proposed medical and life sciences research district, based around Euston Road including centres such as the University College Hospital, Wellcome Trust and the Francis Crick Institute. Another medical research cluster is proposed around Whitechapel, associated with the Queen Mary University of London.’] ensuring the availability of suitable workspaces including television and film studio capacity’.</w:t>
            </w:r>
          </w:p>
        </w:tc>
      </w:tr>
      <w:tr w:rsidR="00B161E7" w:rsidRPr="005D38E8">
        <w:tc>
          <w:tcPr>
            <w:tcW w:w="2518" w:type="dxa"/>
          </w:tcPr>
          <w:p w:rsidR="00B161E7" w:rsidRPr="005D38E8" w:rsidRDefault="00D7749D">
            <w:pPr>
              <w:rPr>
                <w:sz w:val="22"/>
                <w:szCs w:val="22"/>
              </w:rPr>
            </w:pPr>
            <w:r>
              <w:rPr>
                <w:sz w:val="22"/>
                <w:szCs w:val="22"/>
              </w:rPr>
              <w:t>Para 4.53 (p.149)</w:t>
            </w:r>
          </w:p>
        </w:tc>
        <w:tc>
          <w:tcPr>
            <w:tcW w:w="5998" w:type="dxa"/>
          </w:tcPr>
          <w:p w:rsidR="00B161E7" w:rsidRDefault="00D7749D">
            <w:pPr>
              <w:rPr>
                <w:sz w:val="22"/>
                <w:szCs w:val="22"/>
              </w:rPr>
            </w:pPr>
            <w:r>
              <w:rPr>
                <w:sz w:val="22"/>
                <w:szCs w:val="22"/>
              </w:rPr>
              <w:t>New text at beginning of para: ‘The Mayor’s ‘Smart London’ initiative [reference to Smart London part of GLA website] complements this trend by promoting new technologies. London has become the European capital of digital technology with an estimated 48,000 jobs [reference Centre for London report –A Tale of Tech City] now dependent on the sector and the largest concentration of ICT and software firms in Europe [reference GLA London’s Digital Economy report, published 2012]. The government’s commitment to invest in the Tech City Open Institute hub in the City Fringe should be complemented by strategic planning frameworks and local plans that enable entrepreneurs to locate and expand there and provide the flexibility and range of space that this new sector needs, including affordable space. Life sciences have also been identified as an important growth sector for London, reflecting the capital’s research and teaching strengths</w:t>
            </w:r>
            <w:r w:rsidR="000466F7">
              <w:rPr>
                <w:sz w:val="22"/>
                <w:szCs w:val="22"/>
              </w:rPr>
              <w:t>. Within this sector there is particular demand for affordable ‘grow-on’ space (including laboratory space) to ensure London retains the innovations emerging from London based universities.’</w:t>
            </w:r>
          </w:p>
          <w:p w:rsidR="000466F7" w:rsidRDefault="000466F7">
            <w:pPr>
              <w:rPr>
                <w:sz w:val="22"/>
                <w:szCs w:val="22"/>
              </w:rPr>
            </w:pPr>
          </w:p>
          <w:p w:rsidR="000466F7" w:rsidRPr="000466F7" w:rsidRDefault="000466F7">
            <w:pPr>
              <w:rPr>
                <w:sz w:val="22"/>
                <w:szCs w:val="22"/>
              </w:rPr>
            </w:pPr>
            <w:r>
              <w:rPr>
                <w:sz w:val="22"/>
                <w:szCs w:val="22"/>
              </w:rPr>
              <w:t xml:space="preserve">Reference to provision of affordable workspace for offices and industrial activities expanded to: ‘affordable </w:t>
            </w:r>
            <w:r>
              <w:rPr>
                <w:b/>
                <w:sz w:val="22"/>
                <w:szCs w:val="22"/>
              </w:rPr>
              <w:t>and more flexible hybrid, incubator and accelerator</w:t>
            </w:r>
            <w:r>
              <w:rPr>
                <w:sz w:val="22"/>
                <w:szCs w:val="22"/>
              </w:rPr>
              <w:t xml:space="preserve"> premises [reference added to London Office review published by GLA, 2012, as well as forthcoming research from EBPU???]</w:t>
            </w:r>
          </w:p>
        </w:tc>
      </w:tr>
      <w:tr w:rsidR="00795656" w:rsidRPr="005D38E8">
        <w:tc>
          <w:tcPr>
            <w:tcW w:w="2518" w:type="dxa"/>
          </w:tcPr>
          <w:p w:rsidR="00795656" w:rsidRPr="005D38E8" w:rsidRDefault="000466F7">
            <w:pPr>
              <w:rPr>
                <w:sz w:val="22"/>
                <w:szCs w:val="22"/>
              </w:rPr>
            </w:pPr>
            <w:r>
              <w:rPr>
                <w:sz w:val="22"/>
                <w:szCs w:val="22"/>
              </w:rPr>
              <w:t>Para 4.55A (p.150)</w:t>
            </w:r>
          </w:p>
        </w:tc>
        <w:tc>
          <w:tcPr>
            <w:tcW w:w="5998" w:type="dxa"/>
          </w:tcPr>
          <w:p w:rsidR="00795656" w:rsidRPr="005D38E8" w:rsidRDefault="000466F7">
            <w:pPr>
              <w:rPr>
                <w:sz w:val="22"/>
                <w:szCs w:val="22"/>
              </w:rPr>
            </w:pPr>
            <w:r>
              <w:rPr>
                <w:sz w:val="22"/>
                <w:szCs w:val="22"/>
              </w:rPr>
              <w:t>New para: ‘Tax breaks for film making have contributed to a 75 per cent increase in the number of films made in the UK [reference to Oxford Economics report of UK film industry, 2010]. The Mayor of London supports the production of media content in London and the economic boost this business can bring and aims to ensure London has the television and film studio capacity to support this role [reference to Vision 2020 document].’</w:t>
            </w:r>
          </w:p>
        </w:tc>
      </w:tr>
      <w:tr w:rsidR="00795656" w:rsidRPr="005D38E8">
        <w:tc>
          <w:tcPr>
            <w:tcW w:w="2518" w:type="dxa"/>
          </w:tcPr>
          <w:p w:rsidR="00795656" w:rsidRPr="005D38E8" w:rsidRDefault="000466F7">
            <w:pPr>
              <w:rPr>
                <w:sz w:val="22"/>
                <w:szCs w:val="22"/>
              </w:rPr>
            </w:pPr>
            <w:r>
              <w:rPr>
                <w:sz w:val="22"/>
                <w:szCs w:val="22"/>
              </w:rPr>
              <w:t>POLICY 4.11: ENCOURAGING A CONNECTED ECONOMY (p.150)</w:t>
            </w:r>
          </w:p>
        </w:tc>
        <w:tc>
          <w:tcPr>
            <w:tcW w:w="5998" w:type="dxa"/>
          </w:tcPr>
          <w:p w:rsidR="00795656" w:rsidRPr="00005D54" w:rsidRDefault="00005D54">
            <w:pPr>
              <w:rPr>
                <w:sz w:val="22"/>
                <w:szCs w:val="22"/>
              </w:rPr>
            </w:pPr>
            <w:r>
              <w:rPr>
                <w:sz w:val="22"/>
                <w:szCs w:val="22"/>
              </w:rPr>
              <w:t>Reference to broadband expanded to ‘</w:t>
            </w:r>
            <w:r>
              <w:rPr>
                <w:b/>
                <w:sz w:val="22"/>
                <w:szCs w:val="22"/>
              </w:rPr>
              <w:t xml:space="preserve">ultrafast fixed </w:t>
            </w:r>
            <w:r>
              <w:rPr>
                <w:sz w:val="22"/>
                <w:szCs w:val="22"/>
              </w:rPr>
              <w:t xml:space="preserve">broadband access </w:t>
            </w:r>
            <w:r>
              <w:rPr>
                <w:b/>
                <w:sz w:val="22"/>
                <w:szCs w:val="22"/>
              </w:rPr>
              <w:t>and areas of public wireless connectivity</w:t>
            </w:r>
            <w:r>
              <w:rPr>
                <w:sz w:val="22"/>
                <w:szCs w:val="22"/>
              </w:rPr>
              <w:t>’</w:t>
            </w:r>
          </w:p>
        </w:tc>
      </w:tr>
      <w:tr w:rsidR="00795656" w:rsidRPr="005D38E8">
        <w:tc>
          <w:tcPr>
            <w:tcW w:w="2518" w:type="dxa"/>
          </w:tcPr>
          <w:p w:rsidR="00795656" w:rsidRPr="005D38E8" w:rsidRDefault="00005D54">
            <w:pPr>
              <w:rPr>
                <w:sz w:val="22"/>
                <w:szCs w:val="22"/>
              </w:rPr>
            </w:pPr>
            <w:r>
              <w:rPr>
                <w:sz w:val="22"/>
                <w:szCs w:val="22"/>
              </w:rPr>
              <w:t>Para 4.60 (p.151)</w:t>
            </w:r>
          </w:p>
        </w:tc>
        <w:tc>
          <w:tcPr>
            <w:tcW w:w="5998" w:type="dxa"/>
          </w:tcPr>
          <w:p w:rsidR="00005D54" w:rsidRDefault="00005D54">
            <w:pPr>
              <w:rPr>
                <w:sz w:val="22"/>
                <w:szCs w:val="22"/>
              </w:rPr>
            </w:pPr>
            <w:r>
              <w:rPr>
                <w:sz w:val="22"/>
                <w:szCs w:val="22"/>
              </w:rPr>
              <w:t>Correction of ‘London Enterprise Partnership’ to ‘London Enterprise Panel’.</w:t>
            </w:r>
          </w:p>
          <w:p w:rsidR="00005D54" w:rsidRDefault="00005D54">
            <w:pPr>
              <w:rPr>
                <w:sz w:val="22"/>
                <w:szCs w:val="22"/>
              </w:rPr>
            </w:pPr>
          </w:p>
          <w:p w:rsidR="00795656" w:rsidRPr="005D38E8" w:rsidRDefault="00005D54">
            <w:pPr>
              <w:rPr>
                <w:sz w:val="22"/>
                <w:szCs w:val="22"/>
              </w:rPr>
            </w:pPr>
            <w:r>
              <w:rPr>
                <w:sz w:val="22"/>
                <w:szCs w:val="22"/>
              </w:rPr>
              <w:t>Inclusion of new sentence on ‘Excellent and rigorous education, vocational training and a widespread apprenticeship system will help young Londoners to compete in a globalised economy [reference to Vision 2020 document]’.</w:t>
            </w:r>
          </w:p>
        </w:tc>
      </w:tr>
    </w:tbl>
    <w:p w:rsidR="00FC7240" w:rsidRDefault="00FC7240">
      <w:pPr>
        <w:rPr>
          <w:sz w:val="22"/>
          <w:szCs w:val="22"/>
        </w:rPr>
      </w:pPr>
    </w:p>
    <w:p w:rsidR="006A3942" w:rsidRDefault="006A3942">
      <w:pPr>
        <w:rPr>
          <w:sz w:val="22"/>
          <w:szCs w:val="22"/>
        </w:rPr>
      </w:pPr>
      <w:r>
        <w:rPr>
          <w:sz w:val="22"/>
          <w:szCs w:val="22"/>
        </w:rPr>
        <w:t>Myfanwy Taylor</w:t>
      </w:r>
    </w:p>
    <w:p w:rsidR="006A3942" w:rsidRDefault="006A3942">
      <w:pPr>
        <w:rPr>
          <w:sz w:val="22"/>
          <w:szCs w:val="22"/>
        </w:rPr>
      </w:pPr>
      <w:r>
        <w:rPr>
          <w:sz w:val="22"/>
          <w:szCs w:val="22"/>
        </w:rPr>
        <w:t>UCL</w:t>
      </w:r>
    </w:p>
    <w:p w:rsidR="006A3942" w:rsidRPr="005D38E8" w:rsidRDefault="006A3942">
      <w:pPr>
        <w:rPr>
          <w:sz w:val="22"/>
          <w:szCs w:val="22"/>
        </w:rPr>
      </w:pPr>
      <w:r>
        <w:rPr>
          <w:sz w:val="22"/>
          <w:szCs w:val="22"/>
        </w:rPr>
        <w:t>March 2014</w:t>
      </w:r>
      <w:bookmarkStart w:id="0" w:name="_GoBack"/>
      <w:bookmarkEnd w:id="0"/>
    </w:p>
    <w:sectPr w:rsidR="006A3942" w:rsidRPr="005D38E8" w:rsidSect="008442A1">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97B"/>
    <w:multiLevelType w:val="hybridMultilevel"/>
    <w:tmpl w:val="26A04A48"/>
    <w:lvl w:ilvl="0" w:tplc="BB44A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B6325"/>
    <w:multiLevelType w:val="hybridMultilevel"/>
    <w:tmpl w:val="DC4E4718"/>
    <w:lvl w:ilvl="0" w:tplc="F39C66B6">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FC7240"/>
    <w:rsid w:val="00005D54"/>
    <w:rsid w:val="000466F7"/>
    <w:rsid w:val="000C0F43"/>
    <w:rsid w:val="001E5A83"/>
    <w:rsid w:val="003A1447"/>
    <w:rsid w:val="00445AE3"/>
    <w:rsid w:val="004D2C1F"/>
    <w:rsid w:val="004D4B22"/>
    <w:rsid w:val="0050075E"/>
    <w:rsid w:val="00500E1B"/>
    <w:rsid w:val="005D38E8"/>
    <w:rsid w:val="006A3942"/>
    <w:rsid w:val="00795656"/>
    <w:rsid w:val="008442A1"/>
    <w:rsid w:val="00871CF7"/>
    <w:rsid w:val="00876C6C"/>
    <w:rsid w:val="008C45FC"/>
    <w:rsid w:val="00A914FF"/>
    <w:rsid w:val="00AA37F1"/>
    <w:rsid w:val="00AF2813"/>
    <w:rsid w:val="00B161E7"/>
    <w:rsid w:val="00B2393D"/>
    <w:rsid w:val="00D7749D"/>
    <w:rsid w:val="00EA6E64"/>
    <w:rsid w:val="00F354B4"/>
    <w:rsid w:val="00F84F59"/>
    <w:rsid w:val="00FC7240"/>
    <w:rsid w:val="00FF2554"/>
    <w:rsid w:val="00FF33E2"/>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5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0C0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4B2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4B2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2835</Words>
  <Characters>15597</Characters>
  <Application>Microsoft Macintosh Word</Application>
  <DocSecurity>0</DocSecurity>
  <Lines>288</Lines>
  <Paragraphs>49</Paragraphs>
  <ScaleCrop>false</ScaleCrop>
  <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Myfanwy Taylor</dc:creator>
  <cp:keywords/>
  <dc:description/>
  <cp:lastModifiedBy>Michael Edwards</cp:lastModifiedBy>
  <cp:revision>2</cp:revision>
  <dcterms:created xsi:type="dcterms:W3CDTF">2014-03-08T10:18:00Z</dcterms:created>
  <dcterms:modified xsi:type="dcterms:W3CDTF">2014-03-08T10:18:00Z</dcterms:modified>
</cp:coreProperties>
</file>