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B8D" w:rsidRDefault="00832B8D" w:rsidP="00211B5F">
      <w:pPr>
        <w:widowControl w:val="0"/>
        <w:numPr>
          <w:ilvl w:val="0"/>
          <w:numId w:val="1"/>
        </w:numPr>
        <w:tabs>
          <w:tab w:val="left" w:pos="220"/>
          <w:tab w:val="left" w:pos="720"/>
        </w:tabs>
        <w:autoSpaceDE w:val="0"/>
        <w:autoSpaceDN w:val="0"/>
        <w:adjustRightInd w:val="0"/>
        <w:spacing w:after="293"/>
        <w:ind w:hanging="720"/>
        <w:rPr>
          <w:rFonts w:ascii="Verdana" w:hAnsi="Verdana" w:cs="Verdana"/>
          <w:sz w:val="30"/>
          <w:szCs w:val="30"/>
        </w:rPr>
      </w:pPr>
      <w:r>
        <w:rPr>
          <w:rFonts w:ascii="Verdana" w:hAnsi="Verdana" w:cs="Verdana"/>
          <w:sz w:val="30"/>
          <w:szCs w:val="30"/>
        </w:rPr>
        <w:t xml:space="preserve">The SHMA identifies a need for 25,600 affordable dwellings per year but the FALP only increases the target for the provision of affordable housing from an annual average of 13,200 to 17,000 affordable homes per year. This is clearly a step in the right direction but is it achievable and could more be done to meet the need for affordable housing? </w:t>
      </w:r>
    </w:p>
    <w:p w:rsidR="00832B8D" w:rsidRPr="008C3C44" w:rsidRDefault="00832B8D" w:rsidP="00211B5F">
      <w:pPr>
        <w:pStyle w:val="NormalWeb"/>
        <w:spacing w:before="0" w:beforeAutospacing="0" w:after="0" w:afterAutospacing="0"/>
        <w:rPr>
          <w:rFonts w:ascii="Cambria" w:hAnsi="Cambria" w:cs="Arial"/>
          <w:sz w:val="28"/>
          <w:szCs w:val="28"/>
        </w:rPr>
      </w:pPr>
      <w:r w:rsidRPr="008C3C44">
        <w:rPr>
          <w:rFonts w:ascii="Cambria" w:hAnsi="Cambria" w:cs="Arial"/>
          <w:sz w:val="28"/>
          <w:szCs w:val="28"/>
        </w:rPr>
        <w:t>We support the new affordable housing target (Policy 3.11) of 17,000 p.a. (already underwritten by funding and viability tests) within an overall housing target of 32,210 p.a.  On this topic we are party to, and strongly support, the analysis by the London Tenants Federation LTF and are not repeating here the detailed material.</w:t>
      </w:r>
      <w:r w:rsidRPr="008C3C44">
        <w:rPr>
          <w:rFonts w:ascii="Cambria" w:hAnsi="Cambria" w:cs="Arial"/>
          <w:color w:val="FF1E18"/>
          <w:sz w:val="28"/>
          <w:szCs w:val="28"/>
        </w:rPr>
        <w:t> </w:t>
      </w:r>
    </w:p>
    <w:p w:rsidR="00832B8D" w:rsidRPr="008C3C44" w:rsidRDefault="00832B8D" w:rsidP="00211B5F">
      <w:pPr>
        <w:widowControl w:val="0"/>
        <w:tabs>
          <w:tab w:val="left" w:pos="220"/>
          <w:tab w:val="left" w:pos="720"/>
        </w:tabs>
        <w:autoSpaceDE w:val="0"/>
        <w:autoSpaceDN w:val="0"/>
        <w:adjustRightInd w:val="0"/>
        <w:spacing w:after="293"/>
        <w:ind w:left="220"/>
        <w:rPr>
          <w:rFonts w:cs="Verdana"/>
          <w:sz w:val="28"/>
          <w:szCs w:val="28"/>
        </w:rPr>
      </w:pPr>
    </w:p>
    <w:p w:rsidR="00832B8D" w:rsidRPr="008C3C44" w:rsidRDefault="00832B8D" w:rsidP="008C3C44">
      <w:pPr>
        <w:widowControl w:val="0"/>
        <w:tabs>
          <w:tab w:val="left" w:pos="220"/>
          <w:tab w:val="left" w:pos="720"/>
        </w:tabs>
        <w:autoSpaceDE w:val="0"/>
        <w:autoSpaceDN w:val="0"/>
        <w:adjustRightInd w:val="0"/>
        <w:spacing w:after="293"/>
        <w:rPr>
          <w:rFonts w:cs="Verdana"/>
          <w:sz w:val="28"/>
          <w:szCs w:val="28"/>
        </w:rPr>
      </w:pPr>
      <w:r w:rsidRPr="008C3C44">
        <w:rPr>
          <w:rFonts w:cs="Verdana"/>
          <w:sz w:val="28"/>
          <w:szCs w:val="28"/>
        </w:rPr>
        <w:t>This 17,000 p.a. target is too low to meet need and the definition of affordability is too broad – as we argued strongly in relation to the REMA two years ago. However, in the restricted framework of the FALP consultation we consider it better to welcome any increase in the target which the Mayor is proposing and concentrate on seeking a re-definition of affordability</w:t>
      </w:r>
      <w:r>
        <w:rPr>
          <w:rFonts w:cs="Verdana"/>
          <w:sz w:val="28"/>
          <w:szCs w:val="28"/>
        </w:rPr>
        <w:t>, closer to the definition of target rents,</w:t>
      </w:r>
      <w:r w:rsidRPr="008C3C44">
        <w:rPr>
          <w:rFonts w:cs="Verdana"/>
          <w:sz w:val="28"/>
          <w:szCs w:val="28"/>
        </w:rPr>
        <w:t xml:space="preserve"> in the next full plan review in a few years’ time.</w:t>
      </w:r>
    </w:p>
    <w:p w:rsidR="00832B8D" w:rsidRPr="00FF4F4C" w:rsidRDefault="00832B8D" w:rsidP="008C3C44">
      <w:pPr>
        <w:widowControl w:val="0"/>
        <w:tabs>
          <w:tab w:val="left" w:pos="220"/>
          <w:tab w:val="left" w:pos="720"/>
        </w:tabs>
        <w:autoSpaceDE w:val="0"/>
        <w:autoSpaceDN w:val="0"/>
        <w:adjustRightInd w:val="0"/>
        <w:spacing w:after="293"/>
        <w:rPr>
          <w:rFonts w:cs="Verdana"/>
          <w:sz w:val="28"/>
          <w:szCs w:val="28"/>
        </w:rPr>
      </w:pPr>
      <w:r w:rsidRPr="00FF4F4C">
        <w:rPr>
          <w:rFonts w:cs="Verdana"/>
          <w:sz w:val="28"/>
          <w:szCs w:val="28"/>
        </w:rPr>
        <w:t>We add two further points:</w:t>
      </w:r>
    </w:p>
    <w:p w:rsidR="00832B8D" w:rsidRPr="00FF4F4C" w:rsidRDefault="00832B8D" w:rsidP="008C3C44">
      <w:pPr>
        <w:widowControl w:val="0"/>
        <w:tabs>
          <w:tab w:val="left" w:pos="220"/>
          <w:tab w:val="left" w:pos="720"/>
        </w:tabs>
        <w:autoSpaceDE w:val="0"/>
        <w:autoSpaceDN w:val="0"/>
        <w:adjustRightInd w:val="0"/>
        <w:spacing w:after="293"/>
        <w:rPr>
          <w:rFonts w:cs="Verdana"/>
          <w:sz w:val="28"/>
          <w:szCs w:val="28"/>
        </w:rPr>
      </w:pPr>
      <w:r w:rsidRPr="00FF4F4C">
        <w:rPr>
          <w:rFonts w:cs="Verdana"/>
          <w:sz w:val="28"/>
          <w:szCs w:val="28"/>
        </w:rPr>
        <w:t xml:space="preserve">1. Preventing the loss of existing stocks of genuinely affordable dwellings in </w:t>
      </w:r>
      <w:smartTag w:uri="urn:schemas-microsoft-com:office:smarttags" w:element="place">
        <w:smartTag w:uri="urn:schemas-microsoft-com:office:smarttags" w:element="City">
          <w:r w:rsidRPr="00FF4F4C">
            <w:rPr>
              <w:rFonts w:cs="Verdana"/>
              <w:sz w:val="28"/>
              <w:szCs w:val="28"/>
            </w:rPr>
            <w:t>London</w:t>
          </w:r>
        </w:smartTag>
      </w:smartTag>
      <w:r w:rsidRPr="00FF4F4C">
        <w:rPr>
          <w:rFonts w:cs="Verdana"/>
          <w:sz w:val="28"/>
          <w:szCs w:val="28"/>
        </w:rPr>
        <w:t xml:space="preserve"> (especially of social (‘target’) rent dwellings) is every bit as important and building new. These losses occurr through the Right to Buy, through demolition and through tenancies being switched from ’social’ to ‘affordable rents’. The Financial Times’ study (24 July) estimated that in 2012-13 the </w:t>
      </w:r>
      <w:smartTag w:uri="urn:schemas-microsoft-com:office:smarttags" w:element="place">
        <w:smartTag w:uri="urn:schemas-microsoft-com:office:smarttags" w:element="country-region">
          <w:r w:rsidRPr="00FF4F4C">
            <w:rPr>
              <w:rFonts w:cs="Verdana"/>
              <w:sz w:val="28"/>
              <w:szCs w:val="28"/>
            </w:rPr>
            <w:t>UK</w:t>
          </w:r>
        </w:smartTag>
      </w:smartTag>
      <w:r w:rsidRPr="00FF4F4C">
        <w:rPr>
          <w:rFonts w:cs="Verdana"/>
          <w:sz w:val="28"/>
          <w:szCs w:val="28"/>
        </w:rPr>
        <w:t xml:space="preserve"> as a whole experienced a net loss of nearly 35,000 social dwellings, the first net loss for a decade. We are not aware of a comparable estimate for </w:t>
      </w:r>
      <w:smartTag w:uri="urn:schemas-microsoft-com:office:smarttags" w:element="City">
        <w:r w:rsidRPr="00FF4F4C">
          <w:rPr>
            <w:rFonts w:cs="Verdana"/>
            <w:sz w:val="28"/>
            <w:szCs w:val="28"/>
          </w:rPr>
          <w:t>London</w:t>
        </w:r>
      </w:smartTag>
      <w:r w:rsidRPr="00FF4F4C">
        <w:rPr>
          <w:rFonts w:cs="Verdana"/>
          <w:sz w:val="28"/>
          <w:szCs w:val="28"/>
        </w:rPr>
        <w:t xml:space="preserve"> but would expect the rate of loss in </w:t>
      </w:r>
      <w:smartTag w:uri="urn:schemas-microsoft-com:office:smarttags" w:element="place">
        <w:smartTag w:uri="urn:schemas-microsoft-com:office:smarttags" w:element="City">
          <w:r w:rsidRPr="00FF4F4C">
            <w:rPr>
              <w:rFonts w:cs="Verdana"/>
              <w:sz w:val="28"/>
              <w:szCs w:val="28"/>
            </w:rPr>
            <w:t>London</w:t>
          </w:r>
        </w:smartTag>
      </w:smartTag>
      <w:r w:rsidRPr="00FF4F4C">
        <w:rPr>
          <w:rFonts w:cs="Verdana"/>
          <w:sz w:val="28"/>
          <w:szCs w:val="28"/>
        </w:rPr>
        <w:t xml:space="preserve"> to be as severe as it is nationally. In the EiP on the 2011 Replacement London Plan Community organisations successfully argued that losses through ‘regeneration’ should end and that policy should prevent them. The Mayor, however, declined to accept the Inspectors’ recommendation. </w:t>
      </w:r>
      <w:r>
        <w:rPr>
          <w:rFonts w:cs="Verdana"/>
          <w:sz w:val="28"/>
          <w:szCs w:val="28"/>
        </w:rPr>
        <w:t>We cannot see scope in FALP to suggest re-wording.</w:t>
      </w:r>
    </w:p>
    <w:p w:rsidR="00832B8D" w:rsidRPr="00FF4F4C" w:rsidRDefault="00832B8D" w:rsidP="008C3C44">
      <w:pPr>
        <w:widowControl w:val="0"/>
        <w:tabs>
          <w:tab w:val="left" w:pos="220"/>
          <w:tab w:val="left" w:pos="720"/>
        </w:tabs>
        <w:autoSpaceDE w:val="0"/>
        <w:autoSpaceDN w:val="0"/>
        <w:adjustRightInd w:val="0"/>
        <w:spacing w:after="293"/>
        <w:rPr>
          <w:rFonts w:cs="Verdana"/>
          <w:sz w:val="28"/>
          <w:szCs w:val="28"/>
        </w:rPr>
      </w:pPr>
      <w:r w:rsidRPr="00FF4F4C">
        <w:rPr>
          <w:rFonts w:cs="Verdana"/>
          <w:sz w:val="28"/>
          <w:szCs w:val="28"/>
        </w:rPr>
        <w:t>2.  Targets are all very well but tend to be under-achieved. This diagram prepared by the London Tenants Federation in the context of Matter 2 makes it very clear that the Mayor has failed to deliver target levels of output for both social rented and ‘affordable’ dwellings.</w:t>
      </w:r>
    </w:p>
    <w:p w:rsidR="00832B8D" w:rsidRPr="00FF4F4C" w:rsidRDefault="00832B8D" w:rsidP="008C3C44">
      <w:pPr>
        <w:pStyle w:val="ListParagraph"/>
        <w:ind w:left="426"/>
        <w:rPr>
          <w:rFonts w:cs="Arial"/>
          <w:sz w:val="28"/>
          <w:szCs w:val="28"/>
        </w:r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96.75pt;margin-top:4.8pt;width:279.75pt;height:204.75pt;z-index:251658240;visibility:visible;mso-wrap-distance-left:2.88pt;mso-wrap-distance-top:2.88pt;mso-wrap-distance-right:2.88pt;mso-wrap-distance-bottom:2.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" filled="f">
            <v:shadow color="#eeece1"/>
            <v:textbox inset="2.88pt,2.88pt,2.88pt,2.88pt">
              <w:txbxContent>
                <w:p w:rsidR="00832B8D" w:rsidRDefault="00832B8D" w:rsidP="008C3C44">
                  <w:pPr>
                    <w:widowControl w:val="0"/>
                    <w:jc w:val="center"/>
                    <w:rPr>
                      <w:rFonts w:ascii="Arial Narrow" w:hAnsi="Arial Narrow"/>
                      <w:b/>
                      <w:bCs/>
                      <w:sz w:val="2"/>
                      <w:szCs w:val="2"/>
                    </w:rPr>
                  </w:pPr>
                  <w:r>
                    <w:rPr>
                      <w:rFonts w:ascii="Arial Narrow" w:hAnsi="Arial Narrow"/>
                      <w:b/>
                      <w:bCs/>
                      <w:sz w:val="2"/>
                      <w:szCs w:val="2"/>
                    </w:rPr>
                    <w:t> </w:t>
                  </w:r>
                </w:p>
                <w:p w:rsidR="00832B8D" w:rsidRDefault="00832B8D" w:rsidP="008C3C44">
                  <w:pPr>
                    <w:widowControl w:val="0"/>
                    <w:jc w:val="center"/>
                    <w:rPr>
                      <w:rFonts w:ascii="Arial Narrow" w:hAnsi="Arial Narrow"/>
                      <w:b/>
                      <w:bCs/>
                      <w:sz w:val="21"/>
                      <w:szCs w:val="21"/>
                    </w:rPr>
                  </w:pPr>
                  <w:r>
                    <w:rPr>
                      <w:rFonts w:ascii="Arial Narrow" w:hAnsi="Arial Narrow"/>
                      <w:b/>
                      <w:bCs/>
                      <w:sz w:val="21"/>
                      <w:szCs w:val="21"/>
                    </w:rPr>
                    <w:t>Targets and delivery of new and additional homes 2007-13</w:t>
                  </w:r>
                </w:p>
                <w:p w:rsidR="00832B8D" w:rsidRDefault="00832B8D" w:rsidP="008C3C44">
                  <w:pPr>
                    <w:widowControl w:val="0"/>
                    <w:jc w:val="center"/>
                    <w:rPr>
                      <w:rFonts w:ascii="Arial Narrow" w:hAnsi="Arial Narrow"/>
                      <w:b/>
                      <w:bCs/>
                      <w:sz w:val="21"/>
                      <w:szCs w:val="21"/>
                    </w:rPr>
                  </w:pPr>
                  <w:r w:rsidRPr="00862A0A">
                    <w:rPr>
                      <w:rFonts w:ascii="Arial Narrow" w:hAnsi="Arial Narrow"/>
                      <w:b/>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258pt;height:156pt;visibility:visible">
                        <v:imagedata r:id="rId7" o:title=""/>
                      </v:shape>
                    </w:pict>
                  </w:r>
                </w:p>
                <w:p w:rsidR="00832B8D" w:rsidRPr="000C030A" w:rsidRDefault="00832B8D" w:rsidP="008C3C44">
                  <w:pPr>
                    <w:widowControl w:val="0"/>
                    <w:jc w:val="center"/>
                    <w:rPr>
                      <w:rFonts w:ascii="Arial Narrow" w:hAnsi="Arial Narrow"/>
                      <w:bCs/>
                      <w:sz w:val="21"/>
                      <w:szCs w:val="21"/>
                    </w:rPr>
                  </w:pPr>
                  <w:r>
                    <w:rPr>
                      <w:rFonts w:ascii="Arial Narrow" w:hAnsi="Arial Narrow"/>
                      <w:bCs/>
                      <w:sz w:val="21"/>
                      <w:szCs w:val="21"/>
                    </w:rPr>
                    <w:t xml:space="preserve">Table using data from London Plan Annual Monitoring Reports </w:t>
                  </w:r>
                </w:p>
                <w:p w:rsidR="00832B8D" w:rsidRDefault="00832B8D" w:rsidP="008C3C44">
                  <w:pPr>
                    <w:widowControl w:val="0"/>
                    <w:jc w:val="center"/>
                    <w:rPr>
                      <w:rFonts w:ascii="Arial Narrow" w:hAnsi="Arial Narrow"/>
                      <w:b/>
                      <w:bCs/>
                      <w:sz w:val="21"/>
                      <w:szCs w:val="21"/>
                    </w:rPr>
                  </w:pPr>
                </w:p>
                <w:p w:rsidR="00832B8D" w:rsidRDefault="00832B8D" w:rsidP="008C3C44">
                  <w:pPr>
                    <w:widowControl w:val="0"/>
                    <w:jc w:val="center"/>
                    <w:rPr>
                      <w:rFonts w:ascii="Arial Narrow" w:hAnsi="Arial Narrow"/>
                      <w:b/>
                      <w:bCs/>
                      <w:sz w:val="21"/>
                      <w:szCs w:val="21"/>
                    </w:rPr>
                  </w:pPr>
                </w:p>
                <w:p w:rsidR="00832B8D" w:rsidRDefault="00832B8D" w:rsidP="008C3C44">
                  <w:pPr>
                    <w:widowControl w:val="0"/>
                    <w:jc w:val="center"/>
                    <w:rPr>
                      <w:rFonts w:ascii="Arial Narrow" w:hAnsi="Arial Narrow"/>
                      <w:b/>
                      <w:bCs/>
                      <w:sz w:val="21"/>
                      <w:szCs w:val="21"/>
                    </w:rPr>
                  </w:pPr>
                </w:p>
                <w:p w:rsidR="00832B8D" w:rsidRDefault="00832B8D" w:rsidP="008C3C44">
                  <w:pPr>
                    <w:widowControl w:val="0"/>
                    <w:jc w:val="center"/>
                    <w:rPr>
                      <w:rFonts w:ascii="Arial Narrow" w:hAnsi="Arial Narrow"/>
                      <w:b/>
                      <w:bCs/>
                      <w:sz w:val="21"/>
                      <w:szCs w:val="21"/>
                    </w:rPr>
                  </w:pPr>
                </w:p>
                <w:p w:rsidR="00832B8D" w:rsidRDefault="00832B8D" w:rsidP="008C3C44">
                  <w:pPr>
                    <w:widowControl w:val="0"/>
                    <w:jc w:val="center"/>
                    <w:rPr>
                      <w:rFonts w:ascii="Arial Narrow" w:hAnsi="Arial Narrow"/>
                      <w:b/>
                      <w:bCs/>
                      <w:sz w:val="21"/>
                      <w:szCs w:val="21"/>
                    </w:rPr>
                  </w:pPr>
                </w:p>
                <w:p w:rsidR="00832B8D" w:rsidRDefault="00832B8D" w:rsidP="008C3C44">
                  <w:pPr>
                    <w:widowControl w:val="0"/>
                    <w:jc w:val="center"/>
                    <w:rPr>
                      <w:rFonts w:ascii="Arial Narrow" w:hAnsi="Arial Narrow"/>
                      <w:b/>
                      <w:bCs/>
                      <w:sz w:val="21"/>
                      <w:szCs w:val="21"/>
                    </w:rPr>
                  </w:pPr>
                </w:p>
                <w:p w:rsidR="00832B8D" w:rsidRDefault="00832B8D" w:rsidP="008C3C44">
                  <w:pPr>
                    <w:widowControl w:val="0"/>
                    <w:jc w:val="center"/>
                    <w:rPr>
                      <w:rFonts w:ascii="Arial Narrow" w:hAnsi="Arial Narrow"/>
                      <w:b/>
                      <w:bCs/>
                      <w:sz w:val="21"/>
                      <w:szCs w:val="21"/>
                    </w:rPr>
                  </w:pPr>
                </w:p>
                <w:p w:rsidR="00832B8D" w:rsidRDefault="00832B8D" w:rsidP="008C3C44">
                  <w:pPr>
                    <w:widowControl w:val="0"/>
                    <w:jc w:val="center"/>
                    <w:rPr>
                      <w:rFonts w:ascii="Arial Narrow" w:hAnsi="Arial Narrow"/>
                      <w:b/>
                      <w:bCs/>
                      <w:sz w:val="21"/>
                      <w:szCs w:val="21"/>
                    </w:rPr>
                  </w:pPr>
                </w:p>
                <w:p w:rsidR="00832B8D" w:rsidRDefault="00832B8D" w:rsidP="008C3C44">
                  <w:pPr>
                    <w:widowControl w:val="0"/>
                    <w:jc w:val="center"/>
                    <w:rPr>
                      <w:rFonts w:ascii="Arial Narrow" w:hAnsi="Arial Narrow"/>
                      <w:b/>
                      <w:bCs/>
                      <w:sz w:val="21"/>
                      <w:szCs w:val="21"/>
                    </w:rPr>
                  </w:pPr>
                </w:p>
                <w:p w:rsidR="00832B8D" w:rsidRDefault="00832B8D" w:rsidP="008C3C44">
                  <w:pPr>
                    <w:widowControl w:val="0"/>
                    <w:jc w:val="center"/>
                    <w:rPr>
                      <w:rFonts w:ascii="Arial Narrow" w:hAnsi="Arial Narrow"/>
                      <w:b/>
                      <w:bCs/>
                      <w:sz w:val="21"/>
                      <w:szCs w:val="21"/>
                    </w:rPr>
                  </w:pPr>
                </w:p>
                <w:p w:rsidR="00832B8D" w:rsidRDefault="00832B8D" w:rsidP="008C3C44">
                  <w:pPr>
                    <w:widowControl w:val="0"/>
                    <w:jc w:val="center"/>
                    <w:rPr>
                      <w:rFonts w:ascii="Arial Narrow" w:hAnsi="Arial Narrow"/>
                      <w:b/>
                      <w:bCs/>
                      <w:sz w:val="21"/>
                      <w:szCs w:val="21"/>
                    </w:rPr>
                  </w:pPr>
                </w:p>
              </w:txbxContent>
            </v:textbox>
          </v:shape>
        </w:pict>
      </w:r>
    </w:p>
    <w:p w:rsidR="00832B8D" w:rsidRPr="00FF4F4C" w:rsidRDefault="00832B8D" w:rsidP="008C3C44">
      <w:pPr>
        <w:widowControl w:val="0"/>
        <w:tabs>
          <w:tab w:val="left" w:pos="220"/>
          <w:tab w:val="left" w:pos="720"/>
        </w:tabs>
        <w:autoSpaceDE w:val="0"/>
        <w:autoSpaceDN w:val="0"/>
        <w:adjustRightInd w:val="0"/>
        <w:spacing w:after="293"/>
        <w:rPr>
          <w:rFonts w:cs="Verdana"/>
          <w:sz w:val="28"/>
          <w:szCs w:val="28"/>
        </w:rPr>
      </w:pPr>
    </w:p>
    <w:p w:rsidR="00832B8D" w:rsidRPr="00FF4F4C" w:rsidRDefault="00832B8D" w:rsidP="008C3C44">
      <w:pPr>
        <w:widowControl w:val="0"/>
        <w:tabs>
          <w:tab w:val="left" w:pos="220"/>
          <w:tab w:val="left" w:pos="720"/>
        </w:tabs>
        <w:autoSpaceDE w:val="0"/>
        <w:autoSpaceDN w:val="0"/>
        <w:adjustRightInd w:val="0"/>
        <w:spacing w:after="293"/>
        <w:rPr>
          <w:rFonts w:cs="Verdana"/>
          <w:sz w:val="28"/>
          <w:szCs w:val="28"/>
        </w:rPr>
      </w:pPr>
    </w:p>
    <w:p w:rsidR="00832B8D" w:rsidRPr="00057AE0" w:rsidRDefault="00832B8D">
      <w:pPr>
        <w:rPr>
          <w:rFonts w:ascii="Verdana" w:hAnsi="Verdana" w:cs="Verdana"/>
          <w:sz w:val="30"/>
          <w:szCs w:val="30"/>
        </w:rPr>
      </w:pPr>
    </w:p>
    <w:sectPr w:rsidR="00832B8D" w:rsidRPr="00057AE0" w:rsidSect="00211B5F">
      <w:headerReference w:type="default" r:id="rId8"/>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B8D" w:rsidRDefault="00832B8D" w:rsidP="00211B5F">
      <w:r>
        <w:separator/>
      </w:r>
    </w:p>
  </w:endnote>
  <w:endnote w:type="continuationSeparator" w:id="0">
    <w:p w:rsidR="00832B8D" w:rsidRDefault="00832B8D" w:rsidP="00211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B8D" w:rsidRDefault="00832B8D" w:rsidP="00211B5F">
      <w:r>
        <w:separator/>
      </w:r>
    </w:p>
  </w:footnote>
  <w:footnote w:type="continuationSeparator" w:id="0">
    <w:p w:rsidR="00832B8D" w:rsidRDefault="00832B8D" w:rsidP="00211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8D" w:rsidRDefault="00832B8D">
    <w:pPr>
      <w:pStyle w:val="Header"/>
    </w:pPr>
    <w:r w:rsidRPr="00057AE0">
      <w:rPr>
        <w:b/>
      </w:rPr>
      <w:t>Just Space 304 written statement</w:t>
    </w:r>
    <w:r>
      <w:t xml:space="preserve"> </w:t>
    </w:r>
    <w:r>
      <w:tab/>
    </w:r>
    <w:r>
      <w:tab/>
    </w:r>
    <w:r w:rsidRPr="00057AE0">
      <w:rPr>
        <w:b/>
      </w:rPr>
      <w:t>Matter 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1B5F"/>
    <w:rsid w:val="00012EBF"/>
    <w:rsid w:val="00057AE0"/>
    <w:rsid w:val="00076069"/>
    <w:rsid w:val="000C030A"/>
    <w:rsid w:val="000D753F"/>
    <w:rsid w:val="00211B5F"/>
    <w:rsid w:val="002F4CD5"/>
    <w:rsid w:val="003326C6"/>
    <w:rsid w:val="003D76F7"/>
    <w:rsid w:val="00647104"/>
    <w:rsid w:val="00832B8D"/>
    <w:rsid w:val="00862A0A"/>
    <w:rsid w:val="008C3C44"/>
    <w:rsid w:val="00AC22E2"/>
    <w:rsid w:val="00CB3163"/>
    <w:rsid w:val="00EC2024"/>
    <w:rsid w:val="00FF4F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53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1B5F"/>
    <w:pPr>
      <w:tabs>
        <w:tab w:val="center" w:pos="4320"/>
        <w:tab w:val="right" w:pos="8640"/>
      </w:tabs>
    </w:pPr>
  </w:style>
  <w:style w:type="character" w:customStyle="1" w:styleId="HeaderChar">
    <w:name w:val="Header Char"/>
    <w:basedOn w:val="DefaultParagraphFont"/>
    <w:link w:val="Header"/>
    <w:uiPriority w:val="99"/>
    <w:locked/>
    <w:rsid w:val="00211B5F"/>
    <w:rPr>
      <w:rFonts w:cs="Times New Roman"/>
    </w:rPr>
  </w:style>
  <w:style w:type="paragraph" w:styleId="Footer">
    <w:name w:val="footer"/>
    <w:basedOn w:val="Normal"/>
    <w:link w:val="FooterChar"/>
    <w:uiPriority w:val="99"/>
    <w:rsid w:val="00211B5F"/>
    <w:pPr>
      <w:tabs>
        <w:tab w:val="center" w:pos="4320"/>
        <w:tab w:val="right" w:pos="8640"/>
      </w:tabs>
    </w:pPr>
  </w:style>
  <w:style w:type="character" w:customStyle="1" w:styleId="FooterChar">
    <w:name w:val="Footer Char"/>
    <w:basedOn w:val="DefaultParagraphFont"/>
    <w:link w:val="Footer"/>
    <w:uiPriority w:val="99"/>
    <w:locked/>
    <w:rsid w:val="00211B5F"/>
    <w:rPr>
      <w:rFonts w:cs="Times New Roman"/>
    </w:rPr>
  </w:style>
  <w:style w:type="paragraph" w:styleId="NormalWeb">
    <w:name w:val="Normal (Web)"/>
    <w:basedOn w:val="Normal"/>
    <w:uiPriority w:val="99"/>
    <w:rsid w:val="00211B5F"/>
    <w:pPr>
      <w:spacing w:before="100" w:beforeAutospacing="1" w:after="100" w:afterAutospacing="1"/>
    </w:pPr>
    <w:rPr>
      <w:rFonts w:ascii="Times New Roman" w:hAnsi="Times New Roman"/>
    </w:rPr>
  </w:style>
  <w:style w:type="paragraph" w:styleId="ListParagraph">
    <w:name w:val="List Paragraph"/>
    <w:basedOn w:val="Normal"/>
    <w:uiPriority w:val="99"/>
    <w:qFormat/>
    <w:rsid w:val="008C3C44"/>
    <w:pPr>
      <w:ind w:left="720"/>
      <w:contextualSpacing/>
    </w:pPr>
  </w:style>
  <w:style w:type="paragraph" w:styleId="BalloonText">
    <w:name w:val="Balloon Text"/>
    <w:basedOn w:val="Normal"/>
    <w:link w:val="BalloonTextChar"/>
    <w:uiPriority w:val="99"/>
    <w:semiHidden/>
    <w:rsid w:val="008C3C4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8C3C44"/>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354</Words>
  <Characters>2019</Characters>
  <Application>Microsoft Office Outlook</Application>
  <DocSecurity>0</DocSecurity>
  <Lines>0</Lines>
  <Paragraphs>0</Paragraphs>
  <ScaleCrop>false</ScaleCrop>
  <Company>UCL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Michael Edwards</dc:creator>
  <cp:keywords/>
  <dc:description/>
  <cp:lastModifiedBy>Richard</cp:lastModifiedBy>
  <cp:revision>3</cp:revision>
  <dcterms:created xsi:type="dcterms:W3CDTF">2014-08-11T13:13:00Z</dcterms:created>
  <dcterms:modified xsi:type="dcterms:W3CDTF">2014-08-11T13:15:00Z</dcterms:modified>
</cp:coreProperties>
</file>