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CD56F" w14:textId="473A7072" w:rsidR="001C27D6" w:rsidRPr="002D7F28" w:rsidRDefault="00FA4AD5">
      <w:pPr>
        <w:rPr>
          <w:rFonts w:cs="Tahoma"/>
          <w:sz w:val="22"/>
          <w:szCs w:val="22"/>
          <w:lang w:val="en-GB"/>
        </w:rPr>
      </w:pPr>
      <w:bookmarkStart w:id="0" w:name="_GoBack"/>
      <w:bookmarkEnd w:id="0"/>
      <w:r w:rsidRPr="002D7F28">
        <w:rPr>
          <w:rFonts w:cs="Tahoma"/>
          <w:b/>
          <w:sz w:val="22"/>
          <w:szCs w:val="22"/>
          <w:lang w:val="en-GB"/>
        </w:rPr>
        <w:t>FINANCING THE NEW LONDON PLAN</w:t>
      </w:r>
    </w:p>
    <w:p w14:paraId="2394EA0E" w14:textId="27F89AE9" w:rsidR="001C27D6" w:rsidRPr="002D7F28" w:rsidRDefault="001C27D6">
      <w:pPr>
        <w:rPr>
          <w:rFonts w:cs="Tahoma"/>
          <w:sz w:val="20"/>
          <w:szCs w:val="20"/>
          <w:lang w:val="en-GB"/>
        </w:rPr>
      </w:pPr>
      <w:r w:rsidRPr="002D7F28">
        <w:rPr>
          <w:rFonts w:cs="Tahoma"/>
          <w:sz w:val="20"/>
          <w:szCs w:val="20"/>
          <w:lang w:val="en-GB"/>
        </w:rPr>
        <w:t xml:space="preserve">[DOCUMENTS CONSIDERED: </w:t>
      </w:r>
      <w:hyperlink r:id="rId8" w:history="1">
        <w:r w:rsidR="00FD7A1B" w:rsidRPr="002D7F28">
          <w:rPr>
            <w:rStyle w:val="Hyperlink"/>
            <w:rFonts w:cs="Tahoma"/>
            <w:sz w:val="20"/>
            <w:szCs w:val="20"/>
            <w:lang w:val="en-GB"/>
          </w:rPr>
          <w:t>LONDON</w:t>
        </w:r>
        <w:r w:rsidRPr="002D7F28">
          <w:rPr>
            <w:rStyle w:val="Hyperlink"/>
            <w:rFonts w:cs="Tahoma"/>
            <w:sz w:val="20"/>
            <w:szCs w:val="20"/>
            <w:lang w:val="en-GB"/>
          </w:rPr>
          <w:t xml:space="preserve"> PLAN VIABILITY STUDY</w:t>
        </w:r>
      </w:hyperlink>
      <w:r w:rsidRPr="002D7F28">
        <w:rPr>
          <w:rFonts w:cs="Tahoma"/>
          <w:sz w:val="20"/>
          <w:szCs w:val="20"/>
          <w:lang w:val="en-GB"/>
        </w:rPr>
        <w:t xml:space="preserve">; </w:t>
      </w:r>
      <w:r w:rsidR="00D729D1" w:rsidRPr="002D7F28">
        <w:rPr>
          <w:rFonts w:cs="Tahoma"/>
          <w:sz w:val="20"/>
          <w:szCs w:val="20"/>
          <w:lang w:val="en-GB"/>
        </w:rPr>
        <w:t xml:space="preserve">CHAPTERS 2, 4 AND 11 OF </w:t>
      </w:r>
      <w:hyperlink r:id="rId9" w:history="1">
        <w:r w:rsidR="00D729D1" w:rsidRPr="002D7F28">
          <w:rPr>
            <w:rStyle w:val="Hyperlink"/>
            <w:rFonts w:cs="Tahoma"/>
            <w:sz w:val="20"/>
            <w:szCs w:val="20"/>
            <w:lang w:val="en-GB"/>
          </w:rPr>
          <w:t>DRAFT NEW LONDON PLAN</w:t>
        </w:r>
      </w:hyperlink>
      <w:r w:rsidR="00D729D1" w:rsidRPr="002D7F28">
        <w:rPr>
          <w:rFonts w:cs="Tahoma"/>
          <w:sz w:val="20"/>
          <w:szCs w:val="20"/>
          <w:lang w:val="en-GB"/>
        </w:rPr>
        <w:t xml:space="preserve">; </w:t>
      </w:r>
      <w:hyperlink r:id="rId10" w:history="1">
        <w:r w:rsidR="00D729D1" w:rsidRPr="002D7F28">
          <w:rPr>
            <w:rStyle w:val="Hyperlink"/>
            <w:rFonts w:cs="Tahoma"/>
            <w:sz w:val="20"/>
            <w:szCs w:val="20"/>
            <w:lang w:val="en-GB"/>
          </w:rPr>
          <w:t xml:space="preserve">OPDC REGULATION 19 </w:t>
        </w:r>
        <w:r w:rsidR="000E6CAB" w:rsidRPr="002D7F28">
          <w:rPr>
            <w:rStyle w:val="Hyperlink"/>
            <w:rFonts w:cs="Tahoma"/>
            <w:sz w:val="20"/>
            <w:szCs w:val="20"/>
            <w:lang w:val="en-GB"/>
          </w:rPr>
          <w:t xml:space="preserve">DRAFT </w:t>
        </w:r>
        <w:r w:rsidR="00D729D1" w:rsidRPr="002D7F28">
          <w:rPr>
            <w:rStyle w:val="Hyperlink"/>
            <w:rFonts w:cs="Tahoma"/>
            <w:sz w:val="20"/>
            <w:szCs w:val="20"/>
            <w:lang w:val="en-GB"/>
          </w:rPr>
          <w:t>LOCAL PLAN</w:t>
        </w:r>
      </w:hyperlink>
      <w:r w:rsidR="00D729D1" w:rsidRPr="002D7F28">
        <w:rPr>
          <w:rFonts w:cs="Tahoma"/>
          <w:sz w:val="20"/>
          <w:szCs w:val="20"/>
          <w:lang w:val="en-GB"/>
        </w:rPr>
        <w:t xml:space="preserve">; </w:t>
      </w:r>
      <w:hyperlink r:id="rId11" w:history="1">
        <w:r w:rsidR="00D729D1" w:rsidRPr="002D7F28">
          <w:rPr>
            <w:rStyle w:val="Hyperlink"/>
            <w:rFonts w:cs="Tahoma"/>
            <w:sz w:val="20"/>
            <w:szCs w:val="20"/>
            <w:lang w:val="en-GB"/>
          </w:rPr>
          <w:t>AFFORDABLE HOUSING AND VIABILITY SPG</w:t>
        </w:r>
      </w:hyperlink>
      <w:r w:rsidR="009F796A" w:rsidRPr="002D7F28">
        <w:rPr>
          <w:rFonts w:cs="Tahoma"/>
          <w:sz w:val="20"/>
          <w:szCs w:val="20"/>
          <w:lang w:val="en-GB"/>
        </w:rPr>
        <w:t xml:space="preserve">; </w:t>
      </w:r>
      <w:hyperlink r:id="rId12" w:history="1">
        <w:r w:rsidR="009F796A" w:rsidRPr="002D7F28">
          <w:rPr>
            <w:rStyle w:val="Hyperlink"/>
            <w:rFonts w:cs="Tahoma"/>
            <w:sz w:val="20"/>
            <w:szCs w:val="20"/>
            <w:lang w:val="en-GB"/>
          </w:rPr>
          <w:t>DEVOLUTION: A CAPITAL IDEA</w:t>
        </w:r>
      </w:hyperlink>
      <w:r w:rsidR="00D729D1" w:rsidRPr="002D7F28">
        <w:rPr>
          <w:rFonts w:cs="Tahoma"/>
          <w:sz w:val="20"/>
          <w:szCs w:val="20"/>
          <w:lang w:val="en-GB"/>
        </w:rPr>
        <w:t>]</w:t>
      </w:r>
      <w:r w:rsidR="00962D96" w:rsidRPr="002D7F28">
        <w:rPr>
          <w:rFonts w:cs="Tahoma"/>
          <w:sz w:val="20"/>
          <w:szCs w:val="20"/>
          <w:lang w:val="en-GB"/>
        </w:rPr>
        <w:t xml:space="preserve"> </w:t>
      </w:r>
    </w:p>
    <w:p w14:paraId="54A201FE" w14:textId="075B99CA" w:rsidR="000F4499" w:rsidRPr="002D7F28" w:rsidRDefault="000F4499">
      <w:pPr>
        <w:rPr>
          <w:rFonts w:cs="Tahoma"/>
          <w:b/>
          <w:sz w:val="22"/>
          <w:szCs w:val="22"/>
          <w:u w:val="single"/>
          <w:lang w:val="en-GB"/>
        </w:rPr>
      </w:pPr>
    </w:p>
    <w:p w14:paraId="6DBB1C62" w14:textId="2ECEB6CC" w:rsidR="004D53FA" w:rsidRPr="002D7F28" w:rsidRDefault="00F26D5B" w:rsidP="002D7F28">
      <w:pPr>
        <w:pStyle w:val="ListParagraph"/>
        <w:numPr>
          <w:ilvl w:val="1"/>
          <w:numId w:val="2"/>
        </w:numPr>
        <w:rPr>
          <w:rFonts w:cs="Tahoma"/>
          <w:sz w:val="22"/>
          <w:szCs w:val="22"/>
          <w:u w:val="single"/>
          <w:lang w:val="en-GB"/>
        </w:rPr>
      </w:pPr>
      <w:r w:rsidRPr="002D7F28">
        <w:rPr>
          <w:rFonts w:cs="Tahoma"/>
          <w:sz w:val="22"/>
          <w:szCs w:val="22"/>
          <w:u w:val="single"/>
          <w:lang w:val="en-GB"/>
        </w:rPr>
        <w:t>Sources of Funding for the Mayor’s London Plan</w:t>
      </w:r>
    </w:p>
    <w:p w14:paraId="5B38D84C" w14:textId="77777777" w:rsidR="00F26D5B" w:rsidRPr="002D7F28" w:rsidRDefault="00F26D5B" w:rsidP="00F26D5B">
      <w:pPr>
        <w:rPr>
          <w:rFonts w:cs="Tahoma"/>
          <w:sz w:val="22"/>
          <w:szCs w:val="22"/>
          <w:lang w:val="en-GB"/>
        </w:rPr>
      </w:pPr>
    </w:p>
    <w:p w14:paraId="1D3C8FF3" w14:textId="77777777" w:rsidR="000F4499" w:rsidRPr="002D7F28" w:rsidRDefault="000F4499" w:rsidP="002D7F28">
      <w:pPr>
        <w:rPr>
          <w:rFonts w:cs="Tahoma"/>
          <w:sz w:val="22"/>
          <w:szCs w:val="22"/>
        </w:rPr>
      </w:pPr>
      <w:r w:rsidRPr="002D7F28">
        <w:rPr>
          <w:rFonts w:cs="Tahoma"/>
          <w:sz w:val="22"/>
          <w:szCs w:val="22"/>
        </w:rPr>
        <w:t>The Mayor oversees a total budget of £17 billion</w:t>
      </w:r>
      <w:r w:rsidRPr="002D7F28">
        <w:rPr>
          <w:rFonts w:cs="Tahoma"/>
          <w:sz w:val="22"/>
          <w:szCs w:val="22"/>
          <w:vertAlign w:val="superscript"/>
        </w:rPr>
        <w:footnoteReference w:id="1"/>
      </w:r>
      <w:r w:rsidRPr="002D7F28">
        <w:rPr>
          <w:rFonts w:cs="Tahoma"/>
          <w:sz w:val="22"/>
          <w:szCs w:val="22"/>
        </w:rPr>
        <w:t>. Two London Assembly Budget Committees consider if this money is put to good use: the main Budget and Performance Committee, which is supported by a specialist Budget Monitoring Sub-Committee. These two Committees scrutinise budget and performance in a wide variety of areas across GLA and its functional bodies including: Transport for London (TfL), The Metropolitan Police, The London Fire and Emergency Planning Authority, The London Legacy Development Corporation (LLDC) and The Old Oak and Park Royal Development Corporation (OPDC).</w:t>
      </w:r>
    </w:p>
    <w:p w14:paraId="376B311F" w14:textId="6078BDA3" w:rsidR="000F4499" w:rsidRPr="002D7F28" w:rsidRDefault="000F4499" w:rsidP="000F4499">
      <w:pPr>
        <w:rPr>
          <w:rFonts w:cs="Tahoma"/>
          <w:sz w:val="22"/>
          <w:szCs w:val="22"/>
        </w:rPr>
      </w:pPr>
      <w:r w:rsidRPr="002D7F28">
        <w:rPr>
          <w:rFonts w:cs="Tahoma"/>
          <w:sz w:val="22"/>
          <w:szCs w:val="22"/>
        </w:rPr>
        <w:br/>
      </w:r>
      <w:r w:rsidRPr="002D7F28">
        <w:rPr>
          <w:rFonts w:cs="Tahoma"/>
          <w:b/>
          <w:sz w:val="22"/>
          <w:szCs w:val="22"/>
        </w:rPr>
        <w:t>Funding Shortfall (DNLP: 11.1.8-11.1.13):</w:t>
      </w:r>
      <w:r w:rsidRPr="002D7F28">
        <w:rPr>
          <w:rFonts w:cs="Tahoma"/>
          <w:sz w:val="22"/>
          <w:szCs w:val="22"/>
        </w:rPr>
        <w:t xml:space="preserve"> Currently, the Mayor does not have the funding required to build the housing that London needs, and TfL is experiencing financial difficulties due to decline in government grant and fall in user numbers, which will begin to have an impact on services. Furthermore, the financial problems of the LLDC (which needs to repay funds spent developing the Olympic site) continue to cause concern. Public sector funding is mainly achieved through taxing or levying funds from businesses and individuals. Current fundraising powers are limited to council tax and business rates, user charges, and third-party contributions such as MCIL. The Mayor seeks devolution of fiscal powers, in line with the recommendation of the London Finance Commission (LFC), in order to give local governments more control over how public money is spent. </w:t>
      </w:r>
    </w:p>
    <w:p w14:paraId="4014E22D" w14:textId="77CB5B86" w:rsidR="000F4499" w:rsidRPr="002D7F28" w:rsidRDefault="000F4499" w:rsidP="000F4499">
      <w:pPr>
        <w:rPr>
          <w:rFonts w:cs="Tahoma"/>
          <w:sz w:val="22"/>
          <w:szCs w:val="22"/>
        </w:rPr>
      </w:pPr>
      <w:r w:rsidRPr="002D7F28">
        <w:rPr>
          <w:rFonts w:cs="Tahoma"/>
          <w:sz w:val="22"/>
          <w:szCs w:val="22"/>
        </w:rPr>
        <w:br/>
        <w:t xml:space="preserve">A key issue undermining the effectiveness of the London Plan is </w:t>
      </w:r>
      <w:r w:rsidR="00175D38" w:rsidRPr="002D7F28">
        <w:rPr>
          <w:rFonts w:cs="Tahoma"/>
          <w:sz w:val="22"/>
          <w:szCs w:val="22"/>
        </w:rPr>
        <w:t xml:space="preserve">therefore </w:t>
      </w:r>
      <w:r w:rsidRPr="002D7F28">
        <w:rPr>
          <w:rFonts w:cs="Tahoma"/>
          <w:sz w:val="22"/>
          <w:szCs w:val="22"/>
        </w:rPr>
        <w:t xml:space="preserve">the significant funding shortfall in relation to meeting its ambitions. The London Infrastructure Plan 2050 identified a massive funding gap for infrastructure delivery in the period to 2050:  £3.1 billion per annum. In addition, the “Initial estimates by the GLA indicate that at least £2.7 billion in public capital funding a year is required for affordable housing to help address housing need.” (DNLP, p. 445). Thus, in order to achieve this ambitious plan, more public and private investment and other potential sources of funding (such as land value capture) are needed. </w:t>
      </w:r>
      <w:r w:rsidR="000453AC" w:rsidRPr="002D7F28">
        <w:rPr>
          <w:rFonts w:cs="Tahoma"/>
          <w:sz w:val="22"/>
          <w:szCs w:val="22"/>
        </w:rPr>
        <w:t>The Mayor’s key ideas for increasing revenue are: Fiscal Devolution (paragraphs 11.1.58-62) and Sharing in Land Value Uplift (paragraphs 11.1.63-65). Both these plans are in their infancy, with no concrete proposals on the table, and are therefore unlikely to materially improve the funding for implementing this London Plan.</w:t>
      </w:r>
      <w:r w:rsidR="00175D38" w:rsidRPr="002D7F28">
        <w:rPr>
          <w:rFonts w:cs="Tahoma"/>
          <w:sz w:val="22"/>
          <w:szCs w:val="22"/>
        </w:rPr>
        <w:t xml:space="preserve"> Opportunities to raise loans for infrastructure development from business rates uplift are constrained by the new role of business rates in directly funding core local council activities and TfL borrowing is now restricted to potential for revenue increases (11.1.30).</w:t>
      </w:r>
      <w:r w:rsidRPr="002D7F28">
        <w:rPr>
          <w:rFonts w:eastAsia="PMingLiU" w:cs="Tahoma"/>
          <w:sz w:val="22"/>
          <w:szCs w:val="22"/>
        </w:rPr>
        <w:br/>
      </w:r>
    </w:p>
    <w:p w14:paraId="2D97C642" w14:textId="0282E631" w:rsidR="00A93553" w:rsidRPr="002D7F28" w:rsidRDefault="00A93553" w:rsidP="00A93553">
      <w:pPr>
        <w:rPr>
          <w:rFonts w:cs="Tahoma"/>
          <w:sz w:val="22"/>
          <w:szCs w:val="22"/>
        </w:rPr>
      </w:pPr>
      <w:r w:rsidRPr="002D7F28">
        <w:rPr>
          <w:rFonts w:cs="Tahoma"/>
          <w:sz w:val="22"/>
          <w:szCs w:val="22"/>
        </w:rPr>
        <w:t xml:space="preserve">Alongside private sector borrowing for utilities, and central government grant for some of the capital costs of schools (about 1/3 of needed), </w:t>
      </w:r>
      <w:r w:rsidR="000F4499" w:rsidRPr="002D7F28">
        <w:rPr>
          <w:rFonts w:cs="Tahoma"/>
          <w:sz w:val="22"/>
          <w:szCs w:val="22"/>
        </w:rPr>
        <w:t>S106 income and CIL charges are the only real sources of income identified</w:t>
      </w:r>
      <w:r w:rsidRPr="002D7F28">
        <w:rPr>
          <w:rFonts w:cs="Tahoma"/>
          <w:sz w:val="22"/>
          <w:szCs w:val="22"/>
        </w:rPr>
        <w:t xml:space="preserve"> to implement much of the London Plan</w:t>
      </w:r>
      <w:r w:rsidR="000F4499" w:rsidRPr="002D7F28">
        <w:rPr>
          <w:rFonts w:cs="Tahoma"/>
          <w:sz w:val="22"/>
          <w:szCs w:val="22"/>
        </w:rPr>
        <w:t xml:space="preserve">. </w:t>
      </w:r>
      <w:r w:rsidRPr="002D7F28">
        <w:rPr>
          <w:rFonts w:cs="Tahoma"/>
          <w:sz w:val="22"/>
          <w:szCs w:val="22"/>
        </w:rPr>
        <w:t>The following section considers the implications of this for London’s communities in more detail.</w:t>
      </w:r>
    </w:p>
    <w:p w14:paraId="05C847B8" w14:textId="77777777" w:rsidR="006C2736" w:rsidRPr="002D7F28" w:rsidRDefault="006C2736" w:rsidP="00F26D5B">
      <w:pPr>
        <w:rPr>
          <w:rFonts w:cs="Tahoma"/>
          <w:sz w:val="22"/>
          <w:szCs w:val="22"/>
          <w:lang w:val="en-GB"/>
        </w:rPr>
      </w:pPr>
    </w:p>
    <w:p w14:paraId="2E1A74D7" w14:textId="4702894A" w:rsidR="00F26D5B" w:rsidRPr="002D7F28" w:rsidRDefault="00F26D5B" w:rsidP="002D7F28">
      <w:pPr>
        <w:pStyle w:val="ListParagraph"/>
        <w:numPr>
          <w:ilvl w:val="1"/>
          <w:numId w:val="2"/>
        </w:numPr>
        <w:rPr>
          <w:rFonts w:cs="Tahoma"/>
          <w:sz w:val="22"/>
          <w:szCs w:val="22"/>
          <w:u w:val="single"/>
          <w:lang w:val="en-GB"/>
        </w:rPr>
      </w:pPr>
      <w:r w:rsidRPr="002D7F28">
        <w:rPr>
          <w:rFonts w:cs="Tahoma"/>
          <w:sz w:val="22"/>
          <w:szCs w:val="22"/>
          <w:u w:val="single"/>
          <w:lang w:val="en-GB"/>
        </w:rPr>
        <w:t>Funding through planning gain and viability</w:t>
      </w:r>
      <w:r w:rsidR="0086220F" w:rsidRPr="002D7F28">
        <w:rPr>
          <w:rFonts w:cs="Tahoma"/>
          <w:sz w:val="22"/>
          <w:szCs w:val="22"/>
          <w:u w:val="single"/>
          <w:lang w:val="en-GB"/>
        </w:rPr>
        <w:t>: some issues to consider</w:t>
      </w:r>
    </w:p>
    <w:p w14:paraId="375760D2" w14:textId="77777777" w:rsidR="002D7F28" w:rsidRDefault="002D7F28">
      <w:pPr>
        <w:rPr>
          <w:rFonts w:cs="Tahoma"/>
          <w:sz w:val="22"/>
          <w:szCs w:val="22"/>
          <w:lang w:val="en-GB"/>
        </w:rPr>
      </w:pPr>
    </w:p>
    <w:p w14:paraId="3D50D280" w14:textId="013D46AC" w:rsidR="002F0C7D" w:rsidRPr="002D7F28" w:rsidRDefault="002D7F28">
      <w:pPr>
        <w:rPr>
          <w:rFonts w:cs="Tahoma"/>
          <w:sz w:val="22"/>
          <w:szCs w:val="22"/>
          <w:lang w:val="en-GB"/>
        </w:rPr>
      </w:pPr>
      <w:r w:rsidRPr="002D7F28">
        <w:rPr>
          <w:rFonts w:cs="Tahoma"/>
          <w:sz w:val="22"/>
          <w:szCs w:val="22"/>
          <w:u w:val="single"/>
          <w:lang w:val="en-GB"/>
        </w:rPr>
        <w:t xml:space="preserve">Planning Gain: </w:t>
      </w:r>
      <w:r w:rsidR="009F796A" w:rsidRPr="002D7F28">
        <w:rPr>
          <w:rFonts w:cs="Tahoma"/>
          <w:sz w:val="22"/>
          <w:szCs w:val="22"/>
          <w:lang w:val="en-GB"/>
        </w:rPr>
        <w:t xml:space="preserve">The implementation of the London Plan policies, aside from </w:t>
      </w:r>
      <w:r w:rsidR="00A93553" w:rsidRPr="002D7F28">
        <w:rPr>
          <w:rFonts w:cs="Tahoma"/>
          <w:sz w:val="22"/>
          <w:szCs w:val="22"/>
          <w:lang w:val="en-GB"/>
        </w:rPr>
        <w:t xml:space="preserve">some </w:t>
      </w:r>
      <w:r w:rsidR="009F796A" w:rsidRPr="002D7F28">
        <w:rPr>
          <w:rFonts w:cs="Tahoma"/>
          <w:sz w:val="22"/>
          <w:szCs w:val="22"/>
          <w:lang w:val="en-GB"/>
        </w:rPr>
        <w:t>core</w:t>
      </w:r>
      <w:r w:rsidR="00A93553" w:rsidRPr="002D7F28">
        <w:rPr>
          <w:rFonts w:cs="Tahoma"/>
          <w:sz w:val="22"/>
          <w:szCs w:val="22"/>
          <w:lang w:val="en-GB"/>
        </w:rPr>
        <w:t xml:space="preserve"> </w:t>
      </w:r>
      <w:r w:rsidR="009F796A" w:rsidRPr="002D7F28">
        <w:rPr>
          <w:rFonts w:cs="Tahoma"/>
          <w:sz w:val="22"/>
          <w:szCs w:val="22"/>
          <w:lang w:val="en-GB"/>
        </w:rPr>
        <w:t xml:space="preserve">transport </w:t>
      </w:r>
      <w:r w:rsidR="00A93553" w:rsidRPr="002D7F28">
        <w:rPr>
          <w:rFonts w:cs="Tahoma"/>
          <w:sz w:val="22"/>
          <w:szCs w:val="22"/>
          <w:lang w:val="en-GB"/>
        </w:rPr>
        <w:t xml:space="preserve">infrastructure </w:t>
      </w:r>
      <w:r w:rsidR="009F796A" w:rsidRPr="002D7F28">
        <w:rPr>
          <w:rFonts w:cs="Tahoma"/>
          <w:sz w:val="22"/>
          <w:szCs w:val="22"/>
          <w:lang w:val="en-GB"/>
        </w:rPr>
        <w:t>investments (</w:t>
      </w:r>
      <w:r w:rsidR="00A93553" w:rsidRPr="002D7F28">
        <w:rPr>
          <w:rFonts w:cs="Tahoma"/>
          <w:sz w:val="22"/>
          <w:szCs w:val="22"/>
          <w:lang w:val="en-GB"/>
        </w:rPr>
        <w:t xml:space="preserve">such as HS2 from central government, CrossRail, from Mayoral Cil, Jubilee Line extension at VNE funded by a £1bn loan based on anticipated business rates uplift) </w:t>
      </w:r>
      <w:r w:rsidR="009F796A" w:rsidRPr="002D7F28">
        <w:rPr>
          <w:rFonts w:cs="Tahoma"/>
          <w:sz w:val="22"/>
          <w:szCs w:val="22"/>
          <w:lang w:val="en-GB"/>
        </w:rPr>
        <w:t xml:space="preserve">and the </w:t>
      </w:r>
      <w:r w:rsidR="00175D38" w:rsidRPr="002D7F28">
        <w:rPr>
          <w:rFonts w:cs="Tahoma"/>
          <w:sz w:val="22"/>
          <w:szCs w:val="22"/>
          <w:lang w:val="en-GB"/>
        </w:rPr>
        <w:t xml:space="preserve">£3.15bn </w:t>
      </w:r>
      <w:r w:rsidR="009F796A" w:rsidRPr="002D7F28">
        <w:rPr>
          <w:rFonts w:cs="Tahoma"/>
          <w:sz w:val="22"/>
          <w:szCs w:val="22"/>
          <w:lang w:val="en-GB"/>
        </w:rPr>
        <w:t xml:space="preserve">housing grant the mayor has obtained (which will contribute to housing delivery), will rely for implementation primarily on planning gain negotiations with developers </w:t>
      </w:r>
      <w:r w:rsidR="006A7539" w:rsidRPr="002D7F28">
        <w:rPr>
          <w:rFonts w:cs="Tahoma"/>
          <w:sz w:val="22"/>
          <w:szCs w:val="22"/>
          <w:lang w:val="en-GB"/>
        </w:rPr>
        <w:t xml:space="preserve">(S106 and CiL) </w:t>
      </w:r>
      <w:r w:rsidR="009F796A" w:rsidRPr="002D7F28">
        <w:rPr>
          <w:rFonts w:cs="Tahoma"/>
          <w:sz w:val="22"/>
          <w:szCs w:val="22"/>
          <w:lang w:val="en-GB"/>
        </w:rPr>
        <w:t xml:space="preserve">and private sector </w:t>
      </w:r>
      <w:r w:rsidR="0086220F" w:rsidRPr="002D7F28">
        <w:rPr>
          <w:rFonts w:cs="Tahoma"/>
          <w:sz w:val="22"/>
          <w:szCs w:val="22"/>
          <w:lang w:val="en-GB"/>
        </w:rPr>
        <w:t xml:space="preserve">utility </w:t>
      </w:r>
      <w:r w:rsidR="009F796A" w:rsidRPr="002D7F28">
        <w:rPr>
          <w:rFonts w:cs="Tahoma"/>
          <w:sz w:val="22"/>
          <w:szCs w:val="22"/>
          <w:lang w:val="en-GB"/>
        </w:rPr>
        <w:t>providers borrowing against anticipated user charges.</w:t>
      </w:r>
      <w:r w:rsidR="00F1067D" w:rsidRPr="002D7F28">
        <w:rPr>
          <w:rFonts w:cs="Tahoma"/>
          <w:sz w:val="22"/>
          <w:szCs w:val="22"/>
          <w:lang w:val="en-GB"/>
        </w:rPr>
        <w:t xml:space="preserve"> </w:t>
      </w:r>
      <w:r w:rsidR="00175D38" w:rsidRPr="002D7F28">
        <w:rPr>
          <w:rFonts w:cs="Tahoma"/>
          <w:sz w:val="22"/>
          <w:szCs w:val="22"/>
          <w:lang w:val="en-GB"/>
        </w:rPr>
        <w:t>The London Plan</w:t>
      </w:r>
      <w:r w:rsidR="00F1067D" w:rsidRPr="002D7F28">
        <w:rPr>
          <w:rFonts w:cs="Tahoma"/>
          <w:sz w:val="22"/>
          <w:szCs w:val="22"/>
          <w:lang w:val="en-GB"/>
        </w:rPr>
        <w:t xml:space="preserve"> will rely primarily on </w:t>
      </w:r>
      <w:r w:rsidR="008C4692" w:rsidRPr="002D7F28">
        <w:rPr>
          <w:rFonts w:cs="Tahoma"/>
          <w:sz w:val="22"/>
          <w:szCs w:val="22"/>
          <w:lang w:val="en-GB"/>
        </w:rPr>
        <w:t xml:space="preserve">planning gain contributions from </w:t>
      </w:r>
      <w:r w:rsidR="00F1067D" w:rsidRPr="002D7F28">
        <w:rPr>
          <w:rFonts w:cs="Tahoma"/>
          <w:sz w:val="22"/>
          <w:szCs w:val="22"/>
          <w:lang w:val="en-GB"/>
        </w:rPr>
        <w:t xml:space="preserve">developers to implement planning policy and produce new parts of the city. </w:t>
      </w:r>
    </w:p>
    <w:p w14:paraId="33D90BE0" w14:textId="77777777" w:rsidR="002F0C7D" w:rsidRPr="002D7F28" w:rsidRDefault="002F0C7D">
      <w:pPr>
        <w:rPr>
          <w:rFonts w:cs="Tahoma"/>
          <w:sz w:val="22"/>
          <w:szCs w:val="22"/>
          <w:lang w:val="en-GB"/>
        </w:rPr>
      </w:pPr>
    </w:p>
    <w:p w14:paraId="602B4756" w14:textId="1474FCE9" w:rsidR="008C4692" w:rsidRPr="002D7F28" w:rsidRDefault="009F796A">
      <w:pPr>
        <w:rPr>
          <w:rFonts w:cs="Tahoma"/>
          <w:sz w:val="22"/>
          <w:szCs w:val="22"/>
          <w:lang w:val="en-GB"/>
        </w:rPr>
      </w:pPr>
      <w:r w:rsidRPr="002D7F28">
        <w:rPr>
          <w:rFonts w:cs="Tahoma"/>
          <w:sz w:val="22"/>
          <w:szCs w:val="22"/>
          <w:lang w:val="en-GB"/>
        </w:rPr>
        <w:t>In this regard, it is noteworthy th</w:t>
      </w:r>
      <w:r w:rsidR="008C4692" w:rsidRPr="002D7F28">
        <w:rPr>
          <w:rFonts w:cs="Tahoma"/>
          <w:sz w:val="22"/>
          <w:szCs w:val="22"/>
          <w:lang w:val="en-GB"/>
        </w:rPr>
        <w:t>at the only</w:t>
      </w:r>
      <w:r w:rsidRPr="002D7F28">
        <w:rPr>
          <w:rFonts w:cs="Tahoma"/>
          <w:sz w:val="22"/>
          <w:szCs w:val="22"/>
          <w:lang w:val="en-GB"/>
        </w:rPr>
        <w:t xml:space="preserve"> policy box on Funding (DF1 Delivery of the Plan and Planning Obligations, p. 441)</w:t>
      </w:r>
      <w:r w:rsidR="006A7539" w:rsidRPr="002D7F28">
        <w:rPr>
          <w:rFonts w:cs="Tahoma"/>
          <w:sz w:val="22"/>
          <w:szCs w:val="22"/>
          <w:lang w:val="en-GB"/>
        </w:rPr>
        <w:t xml:space="preserve"> is focussed on “Applicants” – namely, private developers. </w:t>
      </w:r>
      <w:r w:rsidR="00D02CCF" w:rsidRPr="002D7F28">
        <w:rPr>
          <w:rFonts w:cs="Tahoma"/>
          <w:sz w:val="22"/>
          <w:szCs w:val="22"/>
          <w:lang w:val="en-GB"/>
        </w:rPr>
        <w:lastRenderedPageBreak/>
        <w:t>A new route for developers to bring forward proposals to planning authorities without evidence of viability testing is offered, but “where there are clear circumstances creating barriers to delivery”, viability testing procedures are presented in the Affordable Housing and Viability SPG</w:t>
      </w:r>
      <w:r w:rsidR="00FD6415" w:rsidRPr="002D7F28">
        <w:rPr>
          <w:rFonts w:cs="Tahoma"/>
          <w:sz w:val="22"/>
          <w:szCs w:val="22"/>
          <w:lang w:val="en-GB"/>
        </w:rPr>
        <w:t xml:space="preserve">, and also </w:t>
      </w:r>
      <w:r w:rsidR="00877EAE" w:rsidRPr="002D7F28">
        <w:rPr>
          <w:rFonts w:cs="Tahoma"/>
          <w:sz w:val="22"/>
          <w:szCs w:val="22"/>
          <w:lang w:val="en-GB"/>
        </w:rPr>
        <w:t>discussed in Policy H6</w:t>
      </w:r>
      <w:r w:rsidR="00D02CCF" w:rsidRPr="002D7F28">
        <w:rPr>
          <w:rFonts w:cs="Tahoma"/>
          <w:sz w:val="22"/>
          <w:szCs w:val="22"/>
          <w:lang w:val="en-GB"/>
        </w:rPr>
        <w:t xml:space="preserve">. Here, since strong cost pressures exist in relation to bringing forward brownfield, or sites in existing use, or contaminated sites, or inaccessible sites, a prioritisation of use of “planning obligations” is proposed: first affordable housing and public transport; followed by health and education infrastructure; and finally, “affordable workspace and culture and leisure facilities in delivering good growth”. The overarching goal of this plan, “good growth” is therefore accorded the lowest funding priority. </w:t>
      </w:r>
    </w:p>
    <w:p w14:paraId="36CE7D6B" w14:textId="77777777" w:rsidR="008C4692" w:rsidRPr="002D7F28" w:rsidRDefault="008C4692">
      <w:pPr>
        <w:rPr>
          <w:rFonts w:cs="Tahoma"/>
          <w:sz w:val="22"/>
          <w:szCs w:val="22"/>
          <w:lang w:val="en-GB"/>
        </w:rPr>
      </w:pPr>
    </w:p>
    <w:p w14:paraId="1C5E0C05" w14:textId="6FF76727" w:rsidR="0086220F" w:rsidRPr="002D7F28" w:rsidRDefault="008C4692" w:rsidP="0086220F">
      <w:pPr>
        <w:rPr>
          <w:rFonts w:cs="Tahoma"/>
          <w:sz w:val="22"/>
          <w:szCs w:val="22"/>
          <w:lang w:val="en-GB"/>
        </w:rPr>
      </w:pPr>
      <w:r w:rsidRPr="002D7F28">
        <w:rPr>
          <w:rFonts w:cs="Tahoma"/>
          <w:sz w:val="22"/>
          <w:szCs w:val="22"/>
          <w:lang w:val="en-GB"/>
        </w:rPr>
        <w:t xml:space="preserve">The highly constrained funds available to deliver this plan are directed AS PRIORITY to the two areas where the Mayor in fact has </w:t>
      </w:r>
      <w:r w:rsidR="00175D38" w:rsidRPr="002D7F28">
        <w:rPr>
          <w:rFonts w:cs="Tahoma"/>
          <w:sz w:val="22"/>
          <w:szCs w:val="22"/>
          <w:lang w:val="en-GB"/>
        </w:rPr>
        <w:t xml:space="preserve">some scope </w:t>
      </w:r>
      <w:r w:rsidRPr="002D7F28">
        <w:rPr>
          <w:rFonts w:cs="Tahoma"/>
          <w:sz w:val="22"/>
          <w:szCs w:val="22"/>
          <w:lang w:val="en-GB"/>
        </w:rPr>
        <w:t xml:space="preserve">to secure investment: transport and housing. Double-dipping into the S106 agreements, which are primarily meant to </w:t>
      </w:r>
      <w:r w:rsidR="00175D38" w:rsidRPr="002D7F28">
        <w:rPr>
          <w:rFonts w:cs="Tahoma"/>
          <w:sz w:val="22"/>
          <w:szCs w:val="22"/>
          <w:lang w:val="en-GB"/>
        </w:rPr>
        <w:t xml:space="preserve">ensure that developers </w:t>
      </w:r>
      <w:r w:rsidRPr="002D7F28">
        <w:rPr>
          <w:rFonts w:cs="Tahoma"/>
          <w:sz w:val="22"/>
          <w:szCs w:val="22"/>
          <w:lang w:val="en-GB"/>
        </w:rPr>
        <w:t xml:space="preserve">implement planning policy, </w:t>
      </w:r>
      <w:r w:rsidR="00175D38" w:rsidRPr="002D7F28">
        <w:rPr>
          <w:rFonts w:cs="Tahoma"/>
          <w:sz w:val="22"/>
          <w:szCs w:val="22"/>
          <w:lang w:val="en-GB"/>
        </w:rPr>
        <w:t xml:space="preserve">in order to fund major infrastructure requirements to unlock sites </w:t>
      </w:r>
      <w:r w:rsidRPr="002D7F28">
        <w:rPr>
          <w:rFonts w:cs="Tahoma"/>
          <w:sz w:val="22"/>
          <w:szCs w:val="22"/>
          <w:lang w:val="en-GB"/>
        </w:rPr>
        <w:t>will render the plan ineffective as a planning policy</w:t>
      </w:r>
      <w:r w:rsidR="0086220F" w:rsidRPr="002D7F28">
        <w:rPr>
          <w:rFonts w:cs="Tahoma"/>
          <w:sz w:val="22"/>
          <w:szCs w:val="22"/>
          <w:lang w:val="en-GB"/>
        </w:rPr>
        <w:t>.</w:t>
      </w:r>
      <w:r w:rsidRPr="002D7F28">
        <w:rPr>
          <w:rFonts w:cs="Tahoma"/>
          <w:sz w:val="22"/>
          <w:szCs w:val="22"/>
          <w:lang w:val="en-GB"/>
        </w:rPr>
        <w:t xml:space="preserve"> </w:t>
      </w:r>
      <w:r w:rsidR="0086220F" w:rsidRPr="002D7F28">
        <w:rPr>
          <w:rFonts w:cs="Tahoma"/>
          <w:sz w:val="22"/>
          <w:szCs w:val="22"/>
          <w:lang w:val="en-GB"/>
        </w:rPr>
        <w:t>I</w:t>
      </w:r>
      <w:r w:rsidR="002D7F28">
        <w:rPr>
          <w:rFonts w:cs="Tahoma"/>
          <w:sz w:val="22"/>
          <w:szCs w:val="22"/>
          <w:lang w:val="en-GB"/>
        </w:rPr>
        <w:t>t will</w:t>
      </w:r>
      <w:r w:rsidRPr="002D7F28">
        <w:rPr>
          <w:rFonts w:cs="Tahoma"/>
          <w:sz w:val="22"/>
          <w:szCs w:val="22"/>
          <w:lang w:val="en-GB"/>
        </w:rPr>
        <w:t xml:space="preserve"> jeopardise the ability to deliver the basic requirements of sustainable urban development: including provide play spaces, protect green and open spaces, protect and re-provide community facilities…etc. </w:t>
      </w:r>
      <w:r w:rsidR="0086220F" w:rsidRPr="002D7F28">
        <w:rPr>
          <w:rFonts w:cs="Tahoma"/>
          <w:sz w:val="22"/>
          <w:szCs w:val="22"/>
          <w:lang w:val="en-GB"/>
        </w:rPr>
        <w:t xml:space="preserve">Time and again these elements of lifetime and sustainable neighbourhoods are poorly provided in large scale developments, in increasingly hard to develop “opportunity areas”. In addition, brownfield sites with high infrastructure requirements seldom yield much in the way of social rented housing – much “affordable” in these schemes is in fact shared ownership or discounted market. This potentially, therefore, means a </w:t>
      </w:r>
      <w:r w:rsidR="0086220F" w:rsidRPr="002D7F28">
        <w:rPr>
          <w:rFonts w:cs="Tahoma"/>
          <w:i/>
          <w:sz w:val="22"/>
          <w:szCs w:val="22"/>
          <w:lang w:val="en-GB"/>
        </w:rPr>
        <w:t xml:space="preserve">de facto </w:t>
      </w:r>
      <w:r w:rsidR="0086220F" w:rsidRPr="002D7F28">
        <w:rPr>
          <w:rFonts w:cs="Tahoma"/>
          <w:sz w:val="22"/>
          <w:szCs w:val="22"/>
          <w:lang w:val="en-GB"/>
        </w:rPr>
        <w:t>prioritisation of S106 to pay for infrastructure.</w:t>
      </w:r>
      <w:r w:rsidR="002D7F28">
        <w:rPr>
          <w:rFonts w:cs="Tahoma"/>
          <w:sz w:val="22"/>
          <w:szCs w:val="22"/>
          <w:lang w:val="en-GB"/>
        </w:rPr>
        <w:t xml:space="preserve"> </w:t>
      </w:r>
    </w:p>
    <w:p w14:paraId="7D36355C" w14:textId="77777777" w:rsidR="008C4692" w:rsidRPr="002D7F28" w:rsidRDefault="008C4692">
      <w:pPr>
        <w:rPr>
          <w:rFonts w:cs="Tahoma"/>
          <w:sz w:val="22"/>
          <w:szCs w:val="22"/>
          <w:lang w:val="en-GB"/>
        </w:rPr>
      </w:pPr>
    </w:p>
    <w:p w14:paraId="3FFDC7F9" w14:textId="4FB5FD2F" w:rsidR="00F96AA6" w:rsidRPr="002D7F28" w:rsidRDefault="008C4692" w:rsidP="005750CF">
      <w:pPr>
        <w:rPr>
          <w:rFonts w:cs="Tahoma"/>
          <w:sz w:val="22"/>
          <w:szCs w:val="22"/>
          <w:lang w:val="en-GB"/>
        </w:rPr>
      </w:pPr>
      <w:r w:rsidRPr="002D7F28">
        <w:rPr>
          <w:rFonts w:cs="Tahoma"/>
          <w:b/>
          <w:sz w:val="22"/>
          <w:szCs w:val="22"/>
          <w:lang w:val="en-GB"/>
        </w:rPr>
        <w:t>PROPOSAL:</w:t>
      </w:r>
      <w:r w:rsidRPr="002D7F28">
        <w:rPr>
          <w:rFonts w:cs="Tahoma"/>
          <w:sz w:val="22"/>
          <w:szCs w:val="22"/>
          <w:lang w:val="en-GB"/>
        </w:rPr>
        <w:t xml:space="preserve"> </w:t>
      </w:r>
      <w:r w:rsidR="00175D38" w:rsidRPr="002D7F28">
        <w:rPr>
          <w:rFonts w:cs="Tahoma"/>
          <w:sz w:val="22"/>
          <w:szCs w:val="22"/>
          <w:lang w:val="en-GB"/>
        </w:rPr>
        <w:t>Should w</w:t>
      </w:r>
      <w:r w:rsidRPr="002D7F28">
        <w:rPr>
          <w:rFonts w:cs="Tahoma"/>
          <w:sz w:val="22"/>
          <w:szCs w:val="22"/>
          <w:lang w:val="en-GB"/>
        </w:rPr>
        <w:t xml:space="preserve">e propose to remove this prioritisation </w:t>
      </w:r>
      <w:r w:rsidR="00F96AA6" w:rsidRPr="002D7F28">
        <w:rPr>
          <w:rFonts w:cs="Tahoma"/>
          <w:sz w:val="22"/>
          <w:szCs w:val="22"/>
          <w:lang w:val="en-GB"/>
        </w:rPr>
        <w:t xml:space="preserve">of transport and </w:t>
      </w:r>
      <w:r w:rsidR="00175D38" w:rsidRPr="002D7F28">
        <w:rPr>
          <w:rFonts w:cs="Tahoma"/>
          <w:sz w:val="22"/>
          <w:szCs w:val="22"/>
          <w:lang w:val="en-GB"/>
        </w:rPr>
        <w:t>“</w:t>
      </w:r>
      <w:r w:rsidR="00F96AA6" w:rsidRPr="002D7F28">
        <w:rPr>
          <w:rFonts w:cs="Tahoma"/>
          <w:sz w:val="22"/>
          <w:szCs w:val="22"/>
          <w:lang w:val="en-GB"/>
        </w:rPr>
        <w:t>affordable</w:t>
      </w:r>
      <w:r w:rsidR="00175D38" w:rsidRPr="002D7F28">
        <w:rPr>
          <w:rFonts w:cs="Tahoma"/>
          <w:sz w:val="22"/>
          <w:szCs w:val="22"/>
          <w:lang w:val="en-GB"/>
        </w:rPr>
        <w:t>”</w:t>
      </w:r>
      <w:r w:rsidR="00F96AA6" w:rsidRPr="002D7F28">
        <w:rPr>
          <w:rFonts w:cs="Tahoma"/>
          <w:sz w:val="22"/>
          <w:szCs w:val="22"/>
          <w:lang w:val="en-GB"/>
        </w:rPr>
        <w:t xml:space="preserve"> housing in </w:t>
      </w:r>
      <w:r w:rsidRPr="002D7F28">
        <w:rPr>
          <w:rFonts w:cs="Tahoma"/>
          <w:sz w:val="22"/>
          <w:szCs w:val="22"/>
          <w:lang w:val="en-GB"/>
        </w:rPr>
        <w:t>Policy DF1 D</w:t>
      </w:r>
      <w:r w:rsidR="0086220F" w:rsidRPr="002D7F28">
        <w:rPr>
          <w:rFonts w:cs="Tahoma"/>
          <w:sz w:val="22"/>
          <w:szCs w:val="22"/>
          <w:lang w:val="en-GB"/>
        </w:rPr>
        <w:t>?</w:t>
      </w:r>
      <w:r w:rsidRPr="002D7F28">
        <w:rPr>
          <w:rFonts w:cs="Tahoma"/>
          <w:sz w:val="22"/>
          <w:szCs w:val="22"/>
          <w:lang w:val="en-GB"/>
        </w:rPr>
        <w:t xml:space="preserve"> </w:t>
      </w:r>
    </w:p>
    <w:p w14:paraId="0185F89D" w14:textId="77777777" w:rsidR="00F96AA6" w:rsidRPr="002D7F28" w:rsidRDefault="00F96AA6" w:rsidP="005750CF">
      <w:pPr>
        <w:rPr>
          <w:rFonts w:cs="Tahoma"/>
          <w:sz w:val="22"/>
          <w:szCs w:val="22"/>
          <w:lang w:val="en-GB"/>
        </w:rPr>
      </w:pPr>
    </w:p>
    <w:p w14:paraId="7A7BE869" w14:textId="533B4868" w:rsidR="005750CF" w:rsidRPr="002D7F28" w:rsidRDefault="008C4692" w:rsidP="005750CF">
      <w:pPr>
        <w:rPr>
          <w:rFonts w:cs="Tahoma"/>
          <w:sz w:val="22"/>
          <w:szCs w:val="22"/>
          <w:lang w:val="en-GB"/>
        </w:rPr>
      </w:pPr>
      <w:r w:rsidRPr="002D7F28">
        <w:rPr>
          <w:rFonts w:cs="Tahoma"/>
          <w:sz w:val="22"/>
          <w:szCs w:val="22"/>
          <w:lang w:val="en-GB"/>
        </w:rPr>
        <w:t>We encourage the Mayor in his efforts to secure proper funding for housing and transport, as per the London Finance Commission work, and suggest that providing lifetime and sustainable neighbourhoods is crucial to support London’s role as an attractive city for both local residents and successful economic activity. Planning gain is not an instrument which is adequate to deliver the goals of this London Plan</w:t>
      </w:r>
      <w:r w:rsidR="00962D96" w:rsidRPr="002D7F28">
        <w:rPr>
          <w:rFonts w:cs="Tahoma"/>
          <w:sz w:val="22"/>
          <w:szCs w:val="22"/>
          <w:lang w:val="en-GB"/>
        </w:rPr>
        <w:t xml:space="preserve"> given that owners of land (public and private) can still realise big profits</w:t>
      </w:r>
      <w:r w:rsidRPr="002D7F28">
        <w:rPr>
          <w:rFonts w:cs="Tahoma"/>
          <w:sz w:val="22"/>
          <w:szCs w:val="22"/>
          <w:lang w:val="en-GB"/>
        </w:rPr>
        <w:t xml:space="preserve">. Squeezing housing and transport funding out of </w:t>
      </w:r>
      <w:r w:rsidR="0086220F" w:rsidRPr="002D7F28">
        <w:rPr>
          <w:rFonts w:cs="Tahoma"/>
          <w:sz w:val="22"/>
          <w:szCs w:val="22"/>
          <w:lang w:val="en-GB"/>
        </w:rPr>
        <w:t xml:space="preserve">S106 and CiL charges on </w:t>
      </w:r>
      <w:r w:rsidRPr="002D7F28">
        <w:rPr>
          <w:rFonts w:cs="Tahoma"/>
          <w:sz w:val="22"/>
          <w:szCs w:val="22"/>
          <w:lang w:val="en-GB"/>
        </w:rPr>
        <w:t xml:space="preserve">specific local developments risks undermining the quality of the built environment. The Mayor himself observed this in his </w:t>
      </w:r>
      <w:hyperlink r:id="rId13" w:history="1">
        <w:r w:rsidRPr="002D7F28">
          <w:rPr>
            <w:rStyle w:val="Hyperlink"/>
            <w:rFonts w:cs="Tahoma"/>
            <w:sz w:val="22"/>
            <w:szCs w:val="22"/>
            <w:lang w:val="en-GB"/>
          </w:rPr>
          <w:t>Review of the O</w:t>
        </w:r>
        <w:r w:rsidR="0086220F" w:rsidRPr="002D7F28">
          <w:rPr>
            <w:rStyle w:val="Hyperlink"/>
            <w:rFonts w:cs="Tahoma"/>
            <w:sz w:val="22"/>
            <w:szCs w:val="22"/>
            <w:lang w:val="en-GB"/>
          </w:rPr>
          <w:t xml:space="preserve">ld Oak </w:t>
        </w:r>
        <w:r w:rsidRPr="002D7F28">
          <w:rPr>
            <w:rStyle w:val="Hyperlink"/>
            <w:rFonts w:cs="Tahoma"/>
            <w:sz w:val="22"/>
            <w:szCs w:val="22"/>
            <w:lang w:val="en-GB"/>
          </w:rPr>
          <w:t>P</w:t>
        </w:r>
        <w:r w:rsidR="0086220F" w:rsidRPr="002D7F28">
          <w:rPr>
            <w:rStyle w:val="Hyperlink"/>
            <w:rFonts w:cs="Tahoma"/>
            <w:sz w:val="22"/>
            <w:szCs w:val="22"/>
            <w:lang w:val="en-GB"/>
          </w:rPr>
          <w:t xml:space="preserve">ark Royal </w:t>
        </w:r>
        <w:r w:rsidRPr="002D7F28">
          <w:rPr>
            <w:rStyle w:val="Hyperlink"/>
            <w:rFonts w:cs="Tahoma"/>
            <w:sz w:val="22"/>
            <w:szCs w:val="22"/>
            <w:lang w:val="en-GB"/>
          </w:rPr>
          <w:t>D</w:t>
        </w:r>
        <w:r w:rsidR="0086220F" w:rsidRPr="002D7F28">
          <w:rPr>
            <w:rStyle w:val="Hyperlink"/>
            <w:rFonts w:cs="Tahoma"/>
            <w:sz w:val="22"/>
            <w:szCs w:val="22"/>
            <w:lang w:val="en-GB"/>
          </w:rPr>
          <w:t xml:space="preserve">evelopment </w:t>
        </w:r>
        <w:r w:rsidRPr="002D7F28">
          <w:rPr>
            <w:rStyle w:val="Hyperlink"/>
            <w:rFonts w:cs="Tahoma"/>
            <w:sz w:val="22"/>
            <w:szCs w:val="22"/>
            <w:lang w:val="en-GB"/>
          </w:rPr>
          <w:t>C</w:t>
        </w:r>
        <w:r w:rsidR="0086220F" w:rsidRPr="002D7F28">
          <w:rPr>
            <w:rStyle w:val="Hyperlink"/>
            <w:rFonts w:cs="Tahoma"/>
            <w:sz w:val="22"/>
            <w:szCs w:val="22"/>
            <w:lang w:val="en-GB"/>
          </w:rPr>
          <w:t>orporation</w:t>
        </w:r>
      </w:hyperlink>
      <w:r w:rsidRPr="002D7F28">
        <w:rPr>
          <w:rFonts w:cs="Tahoma"/>
          <w:sz w:val="22"/>
          <w:szCs w:val="22"/>
          <w:lang w:val="en-GB"/>
        </w:rPr>
        <w:t>, where he suggested that lack of core financial investment for infrastructure would</w:t>
      </w:r>
      <w:r w:rsidR="005750CF" w:rsidRPr="002D7F28">
        <w:rPr>
          <w:rFonts w:cs="Tahoma"/>
          <w:sz w:val="22"/>
          <w:szCs w:val="22"/>
          <w:lang w:val="en-GB"/>
        </w:rPr>
        <w:t>, “</w:t>
      </w:r>
      <w:r w:rsidR="005750CF" w:rsidRPr="002D7F28">
        <w:rPr>
          <w:rFonts w:cs="Tahoma"/>
          <w:sz w:val="22"/>
          <w:szCs w:val="22"/>
        </w:rPr>
        <w:t>In addition to impacting on the ability of developments to provide an acceptable level of affordable housing, the high cost of infrastructure may force a quantum and scale of development that is unacceptable in height, scale, density or mass – and at the expense of community infrastructure.</w:t>
      </w:r>
      <w:r w:rsidR="00F96AA6" w:rsidRPr="002D7F28">
        <w:rPr>
          <w:rFonts w:cs="Tahoma"/>
          <w:sz w:val="22"/>
          <w:szCs w:val="22"/>
        </w:rPr>
        <w:t xml:space="preserve">”. </w:t>
      </w:r>
    </w:p>
    <w:p w14:paraId="43900BB8" w14:textId="77777777" w:rsidR="000E6CAB" w:rsidRPr="002D7F28" w:rsidRDefault="000E6CAB">
      <w:pPr>
        <w:rPr>
          <w:rFonts w:cs="Tahoma"/>
          <w:sz w:val="22"/>
          <w:szCs w:val="22"/>
          <w:lang w:val="en-GB"/>
        </w:rPr>
      </w:pPr>
    </w:p>
    <w:p w14:paraId="08AB050D" w14:textId="1D7CF0EC" w:rsidR="00D02CCF" w:rsidRPr="002D7F28" w:rsidRDefault="0086220F">
      <w:pPr>
        <w:rPr>
          <w:rFonts w:cs="Tahoma"/>
          <w:sz w:val="22"/>
          <w:szCs w:val="22"/>
          <w:lang w:val="en-GB"/>
        </w:rPr>
      </w:pPr>
      <w:r w:rsidRPr="002D7F28">
        <w:rPr>
          <w:rFonts w:cs="Tahoma"/>
          <w:sz w:val="22"/>
          <w:szCs w:val="22"/>
          <w:u w:val="single"/>
          <w:lang w:val="en-GB"/>
        </w:rPr>
        <w:t>Fast-tracked Viability</w:t>
      </w:r>
      <w:r w:rsidR="002D7F28" w:rsidRPr="002D7F28">
        <w:rPr>
          <w:rFonts w:cs="Tahoma"/>
          <w:sz w:val="22"/>
          <w:szCs w:val="22"/>
          <w:u w:val="single"/>
          <w:lang w:val="en-GB"/>
        </w:rPr>
        <w:t>:</w:t>
      </w:r>
      <w:r w:rsidR="002D7F28">
        <w:rPr>
          <w:rFonts w:cs="Tahoma"/>
          <w:sz w:val="22"/>
          <w:szCs w:val="22"/>
          <w:lang w:val="en-GB"/>
        </w:rPr>
        <w:t xml:space="preserve"> </w:t>
      </w:r>
      <w:r w:rsidR="000E6CAB" w:rsidRPr="002D7F28">
        <w:rPr>
          <w:rFonts w:cs="Tahoma"/>
          <w:sz w:val="22"/>
          <w:szCs w:val="22"/>
          <w:lang w:val="en-GB"/>
        </w:rPr>
        <w:t>In Policy H6, applicants meeting threshold requirements for affordable housing delivery (35% or 50% on public land, following the Mayor’s preferred tenure split in policy H7) AND which “meet other relevant policy requirements and obligations to the satisfaction of the borough and the Mayor where relevant” (p. 164) may proceed without an early stage viability assessment.</w:t>
      </w:r>
      <w:r w:rsidR="00FD6415" w:rsidRPr="002D7F28">
        <w:rPr>
          <w:rFonts w:cs="Tahoma"/>
          <w:sz w:val="22"/>
          <w:szCs w:val="22"/>
          <w:lang w:val="en-GB"/>
        </w:rPr>
        <w:t xml:space="preserve"> We have two concerns here:</w:t>
      </w:r>
    </w:p>
    <w:p w14:paraId="693EABB7" w14:textId="49ED050E" w:rsidR="00FD6415" w:rsidRPr="00A70980" w:rsidRDefault="00FD6415" w:rsidP="00A70980">
      <w:pPr>
        <w:pStyle w:val="ListParagraph"/>
        <w:numPr>
          <w:ilvl w:val="0"/>
          <w:numId w:val="1"/>
        </w:numPr>
        <w:rPr>
          <w:rFonts w:cs="Tahoma"/>
          <w:sz w:val="22"/>
          <w:szCs w:val="22"/>
          <w:lang w:val="en-GB"/>
        </w:rPr>
      </w:pPr>
      <w:r w:rsidRPr="00A70980">
        <w:rPr>
          <w:rFonts w:cs="Tahoma"/>
          <w:sz w:val="22"/>
          <w:szCs w:val="22"/>
          <w:lang w:val="en-GB"/>
        </w:rPr>
        <w:t xml:space="preserve">Given the strict legal constraints on refusing developments, this fast track procedure </w:t>
      </w:r>
      <w:r w:rsidR="00C473B2" w:rsidRPr="00A70980">
        <w:rPr>
          <w:rFonts w:cs="Tahoma"/>
          <w:sz w:val="22"/>
          <w:szCs w:val="22"/>
          <w:lang w:val="en-GB"/>
        </w:rPr>
        <w:t xml:space="preserve">opportunity </w:t>
      </w:r>
      <w:r w:rsidRPr="00A70980">
        <w:rPr>
          <w:rFonts w:cs="Tahoma"/>
          <w:sz w:val="22"/>
          <w:szCs w:val="22"/>
          <w:lang w:val="en-GB"/>
        </w:rPr>
        <w:t xml:space="preserve">could be welcome in moving developers to a baseline commitment to affordable housing; but it undermines the nature of the pre-application discussions </w:t>
      </w:r>
      <w:r w:rsidR="00C473B2" w:rsidRPr="00A70980">
        <w:rPr>
          <w:rFonts w:cs="Tahoma"/>
          <w:sz w:val="22"/>
          <w:szCs w:val="22"/>
          <w:lang w:val="en-GB"/>
        </w:rPr>
        <w:t xml:space="preserve">where planners can engage with developers concerning the policy obligations which can be met within the financial envelope of the development and </w:t>
      </w:r>
      <w:r w:rsidRPr="00A70980">
        <w:rPr>
          <w:rFonts w:cs="Tahoma"/>
          <w:sz w:val="22"/>
          <w:szCs w:val="22"/>
          <w:lang w:val="en-GB"/>
        </w:rPr>
        <w:t>which can support individual developments towards meeting specific local needs,</w:t>
      </w:r>
      <w:r w:rsidR="006F6945" w:rsidRPr="00A70980">
        <w:rPr>
          <w:rFonts w:cs="Tahoma"/>
          <w:sz w:val="22"/>
          <w:szCs w:val="22"/>
          <w:lang w:val="en-GB"/>
        </w:rPr>
        <w:t xml:space="preserve"> protect heritage assets and local community assets,</w:t>
      </w:r>
      <w:r w:rsidRPr="00A70980">
        <w:rPr>
          <w:rFonts w:cs="Tahoma"/>
          <w:sz w:val="22"/>
          <w:szCs w:val="22"/>
          <w:lang w:val="en-GB"/>
        </w:rPr>
        <w:t xml:space="preserve"> ensuring wider synergies in a larger development, or contributing to strategic policy objectives. Leverage on the side of planning authorities cou</w:t>
      </w:r>
      <w:r w:rsidR="001D7D5C" w:rsidRPr="00A70980">
        <w:rPr>
          <w:rFonts w:cs="Tahoma"/>
          <w:sz w:val="22"/>
          <w:szCs w:val="22"/>
          <w:lang w:val="en-GB"/>
        </w:rPr>
        <w:t xml:space="preserve">ld be significantly diminished and undermine the capacity to </w:t>
      </w:r>
      <w:r w:rsidR="0086220F" w:rsidRPr="00A70980">
        <w:rPr>
          <w:rFonts w:cs="Tahoma"/>
          <w:sz w:val="22"/>
          <w:szCs w:val="22"/>
          <w:lang w:val="en-GB"/>
        </w:rPr>
        <w:t xml:space="preserve">achieve </w:t>
      </w:r>
      <w:r w:rsidR="001D7D5C" w:rsidRPr="00A70980">
        <w:rPr>
          <w:rFonts w:cs="Tahoma"/>
          <w:sz w:val="22"/>
          <w:szCs w:val="22"/>
          <w:lang w:val="en-GB"/>
        </w:rPr>
        <w:t>planning goals, notably in relation to local community needs</w:t>
      </w:r>
      <w:r w:rsidR="00A70980">
        <w:rPr>
          <w:rFonts w:cs="Tahoma"/>
          <w:sz w:val="22"/>
          <w:szCs w:val="22"/>
          <w:lang w:val="en-GB"/>
        </w:rPr>
        <w:t>. This</w:t>
      </w:r>
      <w:r w:rsidR="00C473B2" w:rsidRPr="00A70980">
        <w:rPr>
          <w:rFonts w:cs="Tahoma"/>
          <w:sz w:val="22"/>
          <w:szCs w:val="22"/>
          <w:lang w:val="en-GB"/>
        </w:rPr>
        <w:t xml:space="preserve"> counter</w:t>
      </w:r>
      <w:r w:rsidR="00A70980">
        <w:rPr>
          <w:rFonts w:cs="Tahoma"/>
          <w:sz w:val="22"/>
          <w:szCs w:val="22"/>
          <w:lang w:val="en-GB"/>
        </w:rPr>
        <w:t xml:space="preserve">s </w:t>
      </w:r>
      <w:r w:rsidR="00C473B2" w:rsidRPr="00A70980">
        <w:rPr>
          <w:rFonts w:cs="Tahoma"/>
          <w:sz w:val="22"/>
          <w:szCs w:val="22"/>
          <w:lang w:val="en-GB"/>
        </w:rPr>
        <w:t xml:space="preserve">the stated importance of local knowledge of communities and boroughs to “identify and understand the particular needs of an area” (p. 94). </w:t>
      </w:r>
    </w:p>
    <w:p w14:paraId="767D5A27" w14:textId="6AA4A925" w:rsidR="007210B1" w:rsidRPr="002D7F28" w:rsidRDefault="007210B1" w:rsidP="00FD6415">
      <w:pPr>
        <w:pStyle w:val="ListParagraph"/>
        <w:numPr>
          <w:ilvl w:val="0"/>
          <w:numId w:val="1"/>
        </w:numPr>
        <w:rPr>
          <w:rFonts w:cs="Tahoma"/>
          <w:sz w:val="22"/>
          <w:szCs w:val="22"/>
          <w:lang w:val="en-GB"/>
        </w:rPr>
      </w:pPr>
      <w:r w:rsidRPr="002D7F28">
        <w:rPr>
          <w:rFonts w:cs="Tahoma"/>
          <w:sz w:val="22"/>
          <w:szCs w:val="22"/>
          <w:lang w:val="en-GB"/>
        </w:rPr>
        <w:t>This could lead to developers taking “easy wins”</w:t>
      </w:r>
      <w:r w:rsidR="00BD5881" w:rsidRPr="002D7F28">
        <w:rPr>
          <w:rFonts w:cs="Tahoma"/>
          <w:sz w:val="22"/>
          <w:szCs w:val="22"/>
          <w:lang w:val="en-GB"/>
        </w:rPr>
        <w:t xml:space="preserve"> and windfall gains</w:t>
      </w:r>
      <w:r w:rsidRPr="002D7F28">
        <w:rPr>
          <w:rFonts w:cs="Tahoma"/>
          <w:sz w:val="22"/>
          <w:szCs w:val="22"/>
          <w:lang w:val="en-GB"/>
        </w:rPr>
        <w:t xml:space="preserve"> in larger development schemes</w:t>
      </w:r>
      <w:r w:rsidR="00BD5881" w:rsidRPr="002D7F28">
        <w:rPr>
          <w:rFonts w:cs="Tahoma"/>
          <w:sz w:val="22"/>
          <w:szCs w:val="22"/>
          <w:lang w:val="en-GB"/>
        </w:rPr>
        <w:t xml:space="preserve"> without making an appropriate contribution</w:t>
      </w:r>
      <w:r w:rsidRPr="002D7F28">
        <w:rPr>
          <w:rFonts w:cs="Tahoma"/>
          <w:sz w:val="22"/>
          <w:szCs w:val="22"/>
          <w:lang w:val="en-GB"/>
        </w:rPr>
        <w:t xml:space="preserve">: </w:t>
      </w:r>
      <w:r w:rsidR="00BD5881" w:rsidRPr="002D7F28">
        <w:rPr>
          <w:rFonts w:cs="Tahoma"/>
          <w:sz w:val="22"/>
          <w:szCs w:val="22"/>
          <w:lang w:val="en-GB"/>
        </w:rPr>
        <w:t xml:space="preserve">relatively </w:t>
      </w:r>
      <w:r w:rsidRPr="002D7F28">
        <w:rPr>
          <w:rFonts w:cs="Tahoma"/>
          <w:sz w:val="22"/>
          <w:szCs w:val="22"/>
          <w:lang w:val="en-GB"/>
        </w:rPr>
        <w:t xml:space="preserve">well-located land, </w:t>
      </w:r>
      <w:r w:rsidR="00BD5881" w:rsidRPr="002D7F28">
        <w:rPr>
          <w:rFonts w:cs="Tahoma"/>
          <w:sz w:val="22"/>
          <w:szCs w:val="22"/>
          <w:lang w:val="en-GB"/>
        </w:rPr>
        <w:t xml:space="preserve">early phase developments. </w:t>
      </w:r>
      <w:r w:rsidR="0086220F" w:rsidRPr="002D7F28">
        <w:rPr>
          <w:rFonts w:cs="Tahoma"/>
          <w:b/>
          <w:sz w:val="22"/>
          <w:szCs w:val="22"/>
          <w:lang w:val="en-GB"/>
        </w:rPr>
        <w:t>Should</w:t>
      </w:r>
      <w:r w:rsidR="0086220F" w:rsidRPr="002D7F28">
        <w:rPr>
          <w:rFonts w:cs="Tahoma"/>
          <w:sz w:val="22"/>
          <w:szCs w:val="22"/>
          <w:lang w:val="en-GB"/>
        </w:rPr>
        <w:t xml:space="preserve"> </w:t>
      </w:r>
      <w:r w:rsidR="0086220F" w:rsidRPr="002D7F28">
        <w:rPr>
          <w:rFonts w:cs="Tahoma"/>
          <w:b/>
          <w:sz w:val="22"/>
          <w:szCs w:val="22"/>
          <w:lang w:val="en-GB"/>
        </w:rPr>
        <w:t>t</w:t>
      </w:r>
      <w:r w:rsidR="00BD5881" w:rsidRPr="002D7F28">
        <w:rPr>
          <w:rFonts w:cs="Tahoma"/>
          <w:b/>
          <w:sz w:val="22"/>
          <w:szCs w:val="22"/>
          <w:lang w:val="en-GB"/>
        </w:rPr>
        <w:t xml:space="preserve">he Mayor </w:t>
      </w:r>
      <w:r w:rsidR="00A70980">
        <w:rPr>
          <w:rFonts w:cs="Tahoma"/>
          <w:b/>
          <w:sz w:val="22"/>
          <w:szCs w:val="22"/>
          <w:lang w:val="en-GB"/>
        </w:rPr>
        <w:t>add</w:t>
      </w:r>
      <w:r w:rsidR="00F04FE5" w:rsidRPr="002D7F28">
        <w:rPr>
          <w:rFonts w:cs="Tahoma"/>
          <w:b/>
          <w:sz w:val="22"/>
          <w:szCs w:val="22"/>
          <w:lang w:val="en-GB"/>
        </w:rPr>
        <w:t xml:space="preserve"> a</w:t>
      </w:r>
      <w:r w:rsidR="00BD5881" w:rsidRPr="002D7F28">
        <w:rPr>
          <w:rFonts w:cs="Tahoma"/>
          <w:b/>
          <w:sz w:val="22"/>
          <w:szCs w:val="22"/>
          <w:lang w:val="en-GB"/>
        </w:rPr>
        <w:t xml:space="preserve"> clause in DF1 which allows the local planning authority to trigger viability assessments in the context of such wider developments and obligations</w:t>
      </w:r>
      <w:r w:rsidR="0086220F" w:rsidRPr="002D7F28">
        <w:rPr>
          <w:rFonts w:cs="Tahoma"/>
          <w:b/>
          <w:sz w:val="22"/>
          <w:szCs w:val="22"/>
          <w:lang w:val="en-GB"/>
        </w:rPr>
        <w:t>?</w:t>
      </w:r>
      <w:r w:rsidR="00BD5881" w:rsidRPr="002D7F28">
        <w:rPr>
          <w:rFonts w:cs="Tahoma"/>
          <w:sz w:val="22"/>
          <w:szCs w:val="22"/>
          <w:lang w:val="en-GB"/>
        </w:rPr>
        <w:t xml:space="preserve"> The case of the OPDC is relevant, where early developers might avoid contributing to the wider infrastructure developments </w:t>
      </w:r>
      <w:r w:rsidR="00F04FE5" w:rsidRPr="002D7F28">
        <w:rPr>
          <w:rFonts w:cs="Tahoma"/>
          <w:sz w:val="22"/>
          <w:szCs w:val="22"/>
          <w:lang w:val="en-GB"/>
        </w:rPr>
        <w:t xml:space="preserve">(social and transport) </w:t>
      </w:r>
      <w:r w:rsidR="00BD5881" w:rsidRPr="002D7F28">
        <w:rPr>
          <w:rFonts w:cs="Tahoma"/>
          <w:sz w:val="22"/>
          <w:szCs w:val="22"/>
          <w:lang w:val="en-GB"/>
        </w:rPr>
        <w:t xml:space="preserve">which will in the medium and longer term substantially enhance and increase the value of their investments. </w:t>
      </w:r>
      <w:r w:rsidR="00962D96" w:rsidRPr="002D7F28">
        <w:rPr>
          <w:rFonts w:cs="Tahoma"/>
          <w:sz w:val="22"/>
          <w:szCs w:val="22"/>
          <w:lang w:val="en-GB"/>
        </w:rPr>
        <w:t xml:space="preserve">Just Space has long argued for a more dynamic way of capturing the continuing </w:t>
      </w:r>
      <w:r w:rsidR="00962D96" w:rsidRPr="002D7F28">
        <w:rPr>
          <w:rFonts w:cs="Tahoma"/>
          <w:b/>
          <w:sz w:val="22"/>
          <w:szCs w:val="22"/>
          <w:lang w:val="en-GB"/>
        </w:rPr>
        <w:t>growth</w:t>
      </w:r>
      <w:r w:rsidR="00962D96" w:rsidRPr="002D7F28">
        <w:rPr>
          <w:rFonts w:cs="Tahoma"/>
          <w:sz w:val="22"/>
          <w:szCs w:val="22"/>
          <w:lang w:val="en-GB"/>
        </w:rPr>
        <w:t xml:space="preserve"> of </w:t>
      </w:r>
      <w:r w:rsidR="0086220F" w:rsidRPr="002D7F28">
        <w:rPr>
          <w:rFonts w:cs="Tahoma"/>
          <w:sz w:val="22"/>
          <w:szCs w:val="22"/>
          <w:lang w:val="en-GB"/>
        </w:rPr>
        <w:t xml:space="preserve">land </w:t>
      </w:r>
      <w:r w:rsidR="00962D96" w:rsidRPr="002D7F28">
        <w:rPr>
          <w:rFonts w:cs="Tahoma"/>
          <w:sz w:val="22"/>
          <w:szCs w:val="22"/>
          <w:lang w:val="en-GB"/>
        </w:rPr>
        <w:t>values.</w:t>
      </w:r>
    </w:p>
    <w:p w14:paraId="68AE5957" w14:textId="77777777" w:rsidR="0086220F" w:rsidRPr="002D7F28" w:rsidRDefault="0086220F">
      <w:pPr>
        <w:rPr>
          <w:rFonts w:cs="Tahoma"/>
          <w:sz w:val="22"/>
          <w:szCs w:val="22"/>
          <w:lang w:val="en-GB"/>
        </w:rPr>
      </w:pPr>
    </w:p>
    <w:p w14:paraId="232176E8" w14:textId="363F436E" w:rsidR="00876686" w:rsidRPr="002D7F28" w:rsidRDefault="0086220F" w:rsidP="002D7F28">
      <w:pPr>
        <w:rPr>
          <w:rFonts w:cs="Tahoma"/>
          <w:sz w:val="22"/>
          <w:szCs w:val="22"/>
          <w:lang w:val="en-GB"/>
        </w:rPr>
      </w:pPr>
      <w:r w:rsidRPr="002D7F28">
        <w:rPr>
          <w:rFonts w:cs="Tahoma"/>
          <w:sz w:val="22"/>
          <w:szCs w:val="22"/>
          <w:u w:val="single"/>
          <w:lang w:val="en-GB"/>
        </w:rPr>
        <w:t>Public Scrutiny of Viability and Planning Gain agreements</w:t>
      </w:r>
      <w:r w:rsidR="002D7F28" w:rsidRPr="002D7F28">
        <w:rPr>
          <w:rFonts w:cs="Tahoma"/>
          <w:sz w:val="22"/>
          <w:szCs w:val="22"/>
          <w:u w:val="single"/>
          <w:lang w:val="en-GB"/>
        </w:rPr>
        <w:t>:</w:t>
      </w:r>
      <w:r w:rsidR="002D7F28">
        <w:rPr>
          <w:rFonts w:cs="Tahoma"/>
          <w:sz w:val="22"/>
          <w:szCs w:val="22"/>
          <w:lang w:val="en-GB"/>
        </w:rPr>
        <w:t xml:space="preserve"> </w:t>
      </w:r>
      <w:r w:rsidR="00F1067D" w:rsidRPr="002D7F28">
        <w:rPr>
          <w:rFonts w:cs="Tahoma"/>
          <w:sz w:val="22"/>
          <w:szCs w:val="22"/>
          <w:lang w:val="en-GB"/>
        </w:rPr>
        <w:t xml:space="preserve">The fast track approach </w:t>
      </w:r>
      <w:r w:rsidRPr="002D7F28">
        <w:rPr>
          <w:rFonts w:cs="Tahoma"/>
          <w:sz w:val="22"/>
          <w:szCs w:val="22"/>
          <w:lang w:val="en-GB"/>
        </w:rPr>
        <w:t xml:space="preserve">potentially </w:t>
      </w:r>
      <w:r w:rsidR="00F1067D" w:rsidRPr="002D7F28">
        <w:rPr>
          <w:rFonts w:cs="Tahoma"/>
          <w:sz w:val="22"/>
          <w:szCs w:val="22"/>
          <w:lang w:val="en-GB"/>
        </w:rPr>
        <w:t xml:space="preserve">further limits public scrutiny of developer proposals. </w:t>
      </w:r>
      <w:r w:rsidR="001D7D5C" w:rsidRPr="002D7F28">
        <w:rPr>
          <w:rFonts w:cs="Tahoma"/>
          <w:sz w:val="22"/>
          <w:szCs w:val="22"/>
          <w:lang w:val="en-GB"/>
        </w:rPr>
        <w:t>This speaks to our</w:t>
      </w:r>
      <w:r w:rsidR="00B46AAE" w:rsidRPr="002D7F28">
        <w:rPr>
          <w:rFonts w:cs="Tahoma"/>
          <w:sz w:val="22"/>
          <w:szCs w:val="22"/>
          <w:lang w:val="en-GB"/>
        </w:rPr>
        <w:t xml:space="preserve"> ongoing</w:t>
      </w:r>
      <w:r w:rsidR="001D7D5C" w:rsidRPr="002D7F28">
        <w:rPr>
          <w:rFonts w:cs="Tahoma"/>
          <w:sz w:val="22"/>
          <w:szCs w:val="22"/>
          <w:lang w:val="en-GB"/>
        </w:rPr>
        <w:t xml:space="preserve"> concerns about the lack of clear policy commitment to community participation in planning in major development sites (Chapter 2: Opportunity Areas, Town Centres, </w:t>
      </w:r>
      <w:r w:rsidR="00B60489" w:rsidRPr="002D7F28">
        <w:rPr>
          <w:rFonts w:cs="Tahoma"/>
          <w:sz w:val="22"/>
          <w:szCs w:val="22"/>
          <w:lang w:val="en-GB"/>
        </w:rPr>
        <w:t xml:space="preserve">Strategic and Local regeneration). In the discussion of Policy SD10 (p. 92-3), it is suggested (2.10.3) that “In order to be effective in improving the lives of those most affected by inequality, regeneration initiatives must be undertaken in </w:t>
      </w:r>
      <w:r w:rsidR="00B60489" w:rsidRPr="002D7F28">
        <w:rPr>
          <w:rFonts w:cs="Tahoma"/>
          <w:b/>
          <w:sz w:val="22"/>
          <w:szCs w:val="22"/>
          <w:lang w:val="en-GB"/>
        </w:rPr>
        <w:t xml:space="preserve">collaboration with local communities, </w:t>
      </w:r>
      <w:r w:rsidR="00B60489" w:rsidRPr="002D7F28">
        <w:rPr>
          <w:rFonts w:cs="Tahoma"/>
          <w:sz w:val="22"/>
          <w:szCs w:val="22"/>
          <w:lang w:val="en-GB"/>
        </w:rPr>
        <w:t xml:space="preserve">involving a broad spectrum of groups and individuals, to develop a shared vision for the area…. There should be a shared understanding of how the regeneration area needs to change, and how that change will be secured, managed and embedded within and supported by the community. (p. 93-4)”. </w:t>
      </w:r>
    </w:p>
    <w:p w14:paraId="442E5D45" w14:textId="77777777" w:rsidR="00C473B2" w:rsidRPr="002D7F28" w:rsidRDefault="00C473B2">
      <w:pPr>
        <w:rPr>
          <w:rFonts w:cs="Tahoma"/>
          <w:sz w:val="22"/>
          <w:szCs w:val="22"/>
          <w:lang w:val="en-GB"/>
        </w:rPr>
      </w:pPr>
    </w:p>
    <w:p w14:paraId="41BCE96C" w14:textId="79BA426F" w:rsidR="00C473B2" w:rsidRPr="002D7F28" w:rsidRDefault="00C473B2">
      <w:pPr>
        <w:rPr>
          <w:rFonts w:cs="Tahoma"/>
          <w:sz w:val="22"/>
          <w:szCs w:val="22"/>
          <w:lang w:val="en-GB"/>
        </w:rPr>
      </w:pPr>
      <w:r w:rsidRPr="002D7F28">
        <w:rPr>
          <w:rFonts w:cs="Tahoma"/>
          <w:b/>
          <w:sz w:val="22"/>
          <w:szCs w:val="22"/>
          <w:lang w:val="en-GB"/>
        </w:rPr>
        <w:t>TEXT CHANGE PROPOSAL:</w:t>
      </w:r>
      <w:r w:rsidRPr="002D7F28">
        <w:rPr>
          <w:rFonts w:cs="Tahoma"/>
          <w:sz w:val="22"/>
          <w:szCs w:val="22"/>
          <w:lang w:val="en-GB"/>
        </w:rPr>
        <w:t xml:space="preserve"> The entire text of 2.10.3 needs to be placed within the policy box of SD10, to ensure this is able to be secured at implementation. The policy currently sees no role for communities in bringing forward major changes to their homes and neighbourhoods. </w:t>
      </w:r>
      <w:r w:rsidR="00221502" w:rsidRPr="002D7F28">
        <w:rPr>
          <w:rFonts w:cs="Tahoma"/>
          <w:sz w:val="22"/>
          <w:szCs w:val="22"/>
          <w:lang w:val="en-GB"/>
        </w:rPr>
        <w:t xml:space="preserve">Commitments to public participation in planning, notably in regeneration and large scale developments, need to be considerably strengthened. </w:t>
      </w:r>
    </w:p>
    <w:p w14:paraId="46BE7086" w14:textId="77777777" w:rsidR="00C473B2" w:rsidRPr="002D7F28" w:rsidRDefault="00C473B2">
      <w:pPr>
        <w:rPr>
          <w:rFonts w:cs="Tahoma"/>
          <w:sz w:val="22"/>
          <w:szCs w:val="22"/>
          <w:lang w:val="en-GB"/>
        </w:rPr>
      </w:pPr>
    </w:p>
    <w:p w14:paraId="14E55F92" w14:textId="320BBEB7" w:rsidR="00B46AAE" w:rsidRPr="002D7F28" w:rsidRDefault="00876686">
      <w:pPr>
        <w:rPr>
          <w:rFonts w:cs="Tahoma"/>
          <w:sz w:val="22"/>
          <w:szCs w:val="22"/>
          <w:lang w:val="en-GB"/>
        </w:rPr>
      </w:pPr>
      <w:r w:rsidRPr="002D7F28">
        <w:rPr>
          <w:rFonts w:cs="Tahoma"/>
          <w:sz w:val="22"/>
          <w:szCs w:val="22"/>
          <w:lang w:val="en-GB"/>
        </w:rPr>
        <w:t xml:space="preserve">However, we wish to further press our concerns </w:t>
      </w:r>
      <w:r w:rsidR="006F6945" w:rsidRPr="002D7F28">
        <w:rPr>
          <w:rFonts w:cs="Tahoma"/>
          <w:sz w:val="22"/>
          <w:szCs w:val="22"/>
          <w:lang w:val="en-GB"/>
        </w:rPr>
        <w:t xml:space="preserve">about the question of public participation in planning on the basis of the over-riding role of private developers in delivering and funding this London Plan. </w:t>
      </w:r>
      <w:r w:rsidR="00221502" w:rsidRPr="002D7F28">
        <w:rPr>
          <w:rFonts w:cs="Tahoma"/>
          <w:sz w:val="22"/>
          <w:szCs w:val="22"/>
          <w:lang w:val="en-GB"/>
        </w:rPr>
        <w:t xml:space="preserve">The Mayor does not have a Statement of Community Involvement. This is a significant lack in a context where the Mayor’s team is closely involved in planning developments across the city, notably in Opportunity Areas and large scale regeneration. Such an SCI should be produced as SPG to guide all planning and development in the city, and should be summarised and referred to throughout this London Plan. SCIs have been developed by the LLDC and the OPDC. </w:t>
      </w:r>
    </w:p>
    <w:p w14:paraId="67172C84" w14:textId="77777777" w:rsidR="00A70980" w:rsidRDefault="00A70980">
      <w:pPr>
        <w:rPr>
          <w:rFonts w:cs="Tahoma"/>
          <w:sz w:val="22"/>
          <w:szCs w:val="22"/>
          <w:lang w:val="en-GB"/>
        </w:rPr>
      </w:pPr>
    </w:p>
    <w:p w14:paraId="3BB5C5CE" w14:textId="07A04CC6" w:rsidR="00221502" w:rsidRPr="002D7F28" w:rsidRDefault="00221502">
      <w:pPr>
        <w:rPr>
          <w:rFonts w:cs="Tahoma"/>
          <w:sz w:val="22"/>
          <w:szCs w:val="22"/>
          <w:lang w:val="en-GB"/>
        </w:rPr>
      </w:pPr>
      <w:r w:rsidRPr="002D7F28">
        <w:rPr>
          <w:rFonts w:cs="Tahoma"/>
          <w:sz w:val="22"/>
          <w:szCs w:val="22"/>
          <w:lang w:val="en-GB"/>
        </w:rPr>
        <w:t xml:space="preserve">The need for an SCI with clear guidance on the nature of participation in planning is enhanced in a situation such as envisaged in Chapter 11 of the Plan, where most development is to be funded and undertaken by private sector developers, even if some funding from government housing grant is available. Consultation by private developers is notoriously shoddy. Furthermore, details of developments highly relevant to local stakeholders are negotiated and agreed in secretive pre-application discussions </w:t>
      </w:r>
      <w:r w:rsidR="00962D96" w:rsidRPr="002D7F28">
        <w:rPr>
          <w:rFonts w:cs="Tahoma"/>
          <w:sz w:val="22"/>
          <w:szCs w:val="22"/>
          <w:lang w:val="en-GB"/>
        </w:rPr>
        <w:t xml:space="preserve">from </w:t>
      </w:r>
      <w:r w:rsidRPr="002D7F28">
        <w:rPr>
          <w:rFonts w:cs="Tahoma"/>
          <w:sz w:val="22"/>
          <w:szCs w:val="22"/>
          <w:lang w:val="en-GB"/>
        </w:rPr>
        <w:t>which community voices are absent. We would like to see the Mayor bring forward a best practice guide for planning authority and developer consultation practices, consistent with the Aarhaus convention, involving early and effective involvement in decisions.</w:t>
      </w:r>
      <w:r w:rsidR="007D7CF2" w:rsidRPr="002D7F28">
        <w:rPr>
          <w:rFonts w:cs="Tahoma"/>
          <w:sz w:val="22"/>
          <w:szCs w:val="22"/>
          <w:lang w:val="en-GB"/>
        </w:rPr>
        <w:t xml:space="preserve"> This is especially important given the high legal stakes associated with refusing or seeking to revise planning applications once they have reached the determination stage.</w:t>
      </w:r>
      <w:r w:rsidR="009544ED" w:rsidRPr="002D7F28">
        <w:rPr>
          <w:rFonts w:cs="Tahoma"/>
          <w:sz w:val="22"/>
          <w:szCs w:val="22"/>
          <w:lang w:val="en-GB"/>
        </w:rPr>
        <w:t xml:space="preserve"> Robust and effective developer engagement with communities, overseen by relevant planning authorities, where community concerns are clearly addressed, and early input to the development of plans</w:t>
      </w:r>
      <w:r w:rsidR="00962D96" w:rsidRPr="002D7F28">
        <w:rPr>
          <w:rFonts w:cs="Tahoma"/>
          <w:sz w:val="22"/>
          <w:szCs w:val="22"/>
          <w:lang w:val="en-GB"/>
        </w:rPr>
        <w:t xml:space="preserve"> and alternatives</w:t>
      </w:r>
      <w:r w:rsidR="009544ED" w:rsidRPr="002D7F28">
        <w:rPr>
          <w:rFonts w:cs="Tahoma"/>
          <w:sz w:val="22"/>
          <w:szCs w:val="22"/>
          <w:lang w:val="en-GB"/>
        </w:rPr>
        <w:t xml:space="preserve"> facilitated.  </w:t>
      </w:r>
    </w:p>
    <w:p w14:paraId="38EFAB41" w14:textId="77777777" w:rsidR="009544ED" w:rsidRPr="002D7F28" w:rsidRDefault="009544ED">
      <w:pPr>
        <w:rPr>
          <w:rFonts w:cs="Tahoma"/>
          <w:sz w:val="22"/>
          <w:szCs w:val="22"/>
          <w:lang w:val="en-GB"/>
        </w:rPr>
      </w:pPr>
    </w:p>
    <w:p w14:paraId="302CCC9D" w14:textId="3CE9B547" w:rsidR="009A475C" w:rsidRPr="002D7F28" w:rsidRDefault="009544ED" w:rsidP="009A475C">
      <w:pPr>
        <w:rPr>
          <w:rFonts w:cs="Tahoma"/>
          <w:sz w:val="22"/>
          <w:szCs w:val="22"/>
          <w:lang w:val="en-GB"/>
        </w:rPr>
      </w:pPr>
      <w:r w:rsidRPr="002D7F28">
        <w:rPr>
          <w:rFonts w:cs="Tahoma"/>
          <w:sz w:val="22"/>
          <w:szCs w:val="22"/>
          <w:lang w:val="en-GB"/>
        </w:rPr>
        <w:t xml:space="preserve">Without clear </w:t>
      </w:r>
      <w:r w:rsidR="009A475C" w:rsidRPr="002D7F28">
        <w:rPr>
          <w:rFonts w:cs="Tahoma"/>
          <w:sz w:val="22"/>
          <w:szCs w:val="22"/>
          <w:lang w:val="en-GB"/>
        </w:rPr>
        <w:t xml:space="preserve">public scrutiny, </w:t>
      </w:r>
      <w:r w:rsidRPr="002D7F28">
        <w:rPr>
          <w:rFonts w:cs="Tahoma"/>
          <w:sz w:val="22"/>
          <w:szCs w:val="22"/>
          <w:lang w:val="en-GB"/>
        </w:rPr>
        <w:t>safeguards and guidance on the role and behaviour of private sector actors</w:t>
      </w:r>
      <w:r w:rsidR="009A475C" w:rsidRPr="002D7F28">
        <w:rPr>
          <w:rFonts w:cs="Tahoma"/>
          <w:sz w:val="22"/>
          <w:szCs w:val="22"/>
          <w:lang w:val="en-GB"/>
        </w:rPr>
        <w:t xml:space="preserve"> in the development process</w:t>
      </w:r>
      <w:r w:rsidRPr="002D7F28">
        <w:rPr>
          <w:rFonts w:cs="Tahoma"/>
          <w:sz w:val="22"/>
          <w:szCs w:val="22"/>
          <w:lang w:val="en-GB"/>
        </w:rPr>
        <w:t>, the Mayor’s Plan will not be effective in its aims to meet community needs,</w:t>
      </w:r>
      <w:r w:rsidR="004D53FA" w:rsidRPr="002D7F28">
        <w:rPr>
          <w:rFonts w:cs="Tahoma"/>
          <w:sz w:val="22"/>
          <w:szCs w:val="22"/>
          <w:lang w:val="en-GB"/>
        </w:rPr>
        <w:t xml:space="preserve"> or to</w:t>
      </w:r>
      <w:r w:rsidRPr="002D7F28">
        <w:rPr>
          <w:rFonts w:cs="Tahoma"/>
          <w:sz w:val="22"/>
          <w:szCs w:val="22"/>
          <w:lang w:val="en-GB"/>
        </w:rPr>
        <w:t xml:space="preserve"> include communities in decision-making and planning for their neighbourhoods – and</w:t>
      </w:r>
      <w:r w:rsidR="004D53FA" w:rsidRPr="002D7F28">
        <w:rPr>
          <w:rFonts w:cs="Tahoma"/>
          <w:sz w:val="22"/>
          <w:szCs w:val="22"/>
          <w:lang w:val="en-GB"/>
        </w:rPr>
        <w:t xml:space="preserve"> this Plan</w:t>
      </w:r>
      <w:r w:rsidRPr="002D7F28">
        <w:rPr>
          <w:rFonts w:cs="Tahoma"/>
          <w:sz w:val="22"/>
          <w:szCs w:val="22"/>
          <w:lang w:val="en-GB"/>
        </w:rPr>
        <w:t xml:space="preserve"> will likely be brought into significant disrepute through the often casual and cynical consultation exercises undertaken by developers, leading to very sub-optimal planning outcomes: the antithesis of good growth.</w:t>
      </w:r>
      <w:r w:rsidR="009A475C" w:rsidRPr="002D7F28">
        <w:rPr>
          <w:rFonts w:cs="Tahoma"/>
          <w:sz w:val="22"/>
          <w:szCs w:val="22"/>
          <w:lang w:val="en-GB"/>
        </w:rPr>
        <w:t xml:space="preserve"> </w:t>
      </w:r>
      <w:r w:rsidR="008C4692" w:rsidRPr="002D7F28">
        <w:rPr>
          <w:rFonts w:cs="Tahoma"/>
          <w:sz w:val="22"/>
          <w:szCs w:val="22"/>
          <w:lang w:val="en-GB"/>
        </w:rPr>
        <w:t>Without better guidance on best practice procedures and implementation, many elements of t</w:t>
      </w:r>
      <w:r w:rsidR="009A475C" w:rsidRPr="002D7F28">
        <w:rPr>
          <w:rFonts w:cs="Tahoma"/>
          <w:sz w:val="22"/>
          <w:szCs w:val="22"/>
          <w:lang w:val="en-GB"/>
        </w:rPr>
        <w:t xml:space="preserve">he Plan </w:t>
      </w:r>
      <w:r w:rsidR="008C4692" w:rsidRPr="002D7F28">
        <w:rPr>
          <w:rFonts w:cs="Tahoma"/>
          <w:sz w:val="22"/>
          <w:szCs w:val="22"/>
          <w:lang w:val="en-GB"/>
        </w:rPr>
        <w:t>are</w:t>
      </w:r>
      <w:r w:rsidR="009A475C" w:rsidRPr="002D7F28">
        <w:rPr>
          <w:rFonts w:cs="Tahoma"/>
          <w:sz w:val="22"/>
          <w:szCs w:val="22"/>
          <w:lang w:val="en-GB"/>
        </w:rPr>
        <w:t xml:space="preserve"> therefore </w:t>
      </w:r>
      <w:r w:rsidR="008C4692" w:rsidRPr="002D7F28">
        <w:rPr>
          <w:rFonts w:cs="Tahoma"/>
          <w:sz w:val="22"/>
          <w:szCs w:val="22"/>
          <w:lang w:val="en-GB"/>
        </w:rPr>
        <w:t xml:space="preserve">ineffective. The Mayor will be </w:t>
      </w:r>
      <w:r w:rsidR="009A475C" w:rsidRPr="002D7F28">
        <w:rPr>
          <w:rFonts w:cs="Tahoma"/>
          <w:sz w:val="22"/>
          <w:szCs w:val="22"/>
          <w:lang w:val="en-GB"/>
        </w:rPr>
        <w:t xml:space="preserve">unable to </w:t>
      </w:r>
      <w:r w:rsidR="008C4692" w:rsidRPr="002D7F28">
        <w:rPr>
          <w:rFonts w:cs="Tahoma"/>
          <w:sz w:val="22"/>
          <w:szCs w:val="22"/>
          <w:lang w:val="en-GB"/>
        </w:rPr>
        <w:t xml:space="preserve">implement many of his </w:t>
      </w:r>
      <w:r w:rsidR="009A475C" w:rsidRPr="002D7F28">
        <w:rPr>
          <w:rFonts w:cs="Tahoma"/>
          <w:sz w:val="22"/>
          <w:szCs w:val="22"/>
          <w:lang w:val="en-GB"/>
        </w:rPr>
        <w:t>ambitions without an effective governance strategy in relation to the private sector delivery of its core goals.</w:t>
      </w:r>
    </w:p>
    <w:p w14:paraId="0CA4315F" w14:textId="77777777" w:rsidR="00C473B2" w:rsidRPr="002D7F28" w:rsidRDefault="00C473B2">
      <w:pPr>
        <w:rPr>
          <w:rFonts w:cs="Tahoma"/>
          <w:sz w:val="22"/>
          <w:szCs w:val="22"/>
          <w:lang w:val="en-GB"/>
        </w:rPr>
      </w:pPr>
    </w:p>
    <w:p w14:paraId="28E40B1A" w14:textId="77777777" w:rsidR="00191F11" w:rsidRPr="002D7F28" w:rsidRDefault="009A475C">
      <w:pPr>
        <w:rPr>
          <w:rFonts w:cs="Tahoma"/>
          <w:sz w:val="22"/>
          <w:szCs w:val="22"/>
          <w:lang w:val="en-GB"/>
        </w:rPr>
      </w:pPr>
      <w:r w:rsidRPr="002D7F28">
        <w:rPr>
          <w:rFonts w:cs="Tahoma"/>
          <w:b/>
          <w:sz w:val="22"/>
          <w:szCs w:val="22"/>
          <w:lang w:val="en-GB"/>
        </w:rPr>
        <w:t>PROPOSAL:</w:t>
      </w:r>
      <w:r w:rsidRPr="002D7F28">
        <w:rPr>
          <w:rFonts w:cs="Tahoma"/>
          <w:sz w:val="22"/>
          <w:szCs w:val="22"/>
          <w:lang w:val="en-GB"/>
        </w:rPr>
        <w:t xml:space="preserve"> Insert a statement in </w:t>
      </w:r>
      <w:r w:rsidR="009C63D6" w:rsidRPr="002D7F28">
        <w:rPr>
          <w:rFonts w:cs="Tahoma"/>
          <w:sz w:val="22"/>
          <w:szCs w:val="22"/>
          <w:lang w:val="en-GB"/>
        </w:rPr>
        <w:t>Chapter 1 policy box GG1 (and also other relevant Policies, such as</w:t>
      </w:r>
      <w:r w:rsidRPr="002D7F28">
        <w:rPr>
          <w:rFonts w:cs="Tahoma"/>
          <w:sz w:val="22"/>
          <w:szCs w:val="22"/>
          <w:lang w:val="en-GB"/>
        </w:rPr>
        <w:t xml:space="preserve"> HD1 and in </w:t>
      </w:r>
      <w:r w:rsidR="009C63D6" w:rsidRPr="002D7F28">
        <w:rPr>
          <w:rFonts w:cs="Tahoma"/>
          <w:sz w:val="22"/>
          <w:szCs w:val="22"/>
          <w:lang w:val="en-GB"/>
        </w:rPr>
        <w:t xml:space="preserve">SD!, SD4, SD6 and SD10) outlining the obligations of private sector actors taking on delivery of the London Plan’s goals, in relation to consultation, responsible and participatory governance, and committing to the preparation of a Best Practice SPG on Public Participation in Planning/Statement of Community Involvement. </w:t>
      </w:r>
    </w:p>
    <w:p w14:paraId="17A4945A" w14:textId="77777777" w:rsidR="00191F11" w:rsidRPr="002D7F28" w:rsidRDefault="00191F11">
      <w:pPr>
        <w:rPr>
          <w:rFonts w:cs="Tahoma"/>
          <w:sz w:val="22"/>
          <w:szCs w:val="22"/>
          <w:lang w:val="en-GB"/>
        </w:rPr>
      </w:pPr>
    </w:p>
    <w:p w14:paraId="36B7658A" w14:textId="197F75F2" w:rsidR="000E6CAB" w:rsidRPr="002D7F28" w:rsidRDefault="009C63D6">
      <w:pPr>
        <w:rPr>
          <w:rFonts w:cs="Tahoma"/>
          <w:sz w:val="22"/>
          <w:szCs w:val="22"/>
          <w:lang w:val="en-GB"/>
        </w:rPr>
      </w:pPr>
      <w:r w:rsidRPr="002D7F28">
        <w:rPr>
          <w:rFonts w:cs="Tahoma"/>
          <w:sz w:val="22"/>
          <w:szCs w:val="22"/>
          <w:lang w:val="en-GB"/>
        </w:rPr>
        <w:t>This should include guidance on early and continuing involvement of local communities and residents in shaping the design and delivery of developments, including through the pre-application evolution of development proposals</w:t>
      </w:r>
      <w:r w:rsidR="00191F11" w:rsidRPr="002D7F28">
        <w:rPr>
          <w:rFonts w:cs="Tahoma"/>
          <w:sz w:val="22"/>
          <w:szCs w:val="22"/>
          <w:lang w:val="en-GB"/>
        </w:rPr>
        <w:t>, where crucial, detailed locally relevant decisions are made about local heritage, community assets, existing uses, links and connections to surrounding neighbourhoods, social infrastructure and community facilities</w:t>
      </w:r>
      <w:r w:rsidRPr="002D7F28">
        <w:rPr>
          <w:rFonts w:cs="Tahoma"/>
          <w:sz w:val="22"/>
          <w:szCs w:val="22"/>
          <w:lang w:val="en-GB"/>
        </w:rPr>
        <w:t>.</w:t>
      </w:r>
      <w:r w:rsidR="00191F11" w:rsidRPr="002D7F28">
        <w:rPr>
          <w:rFonts w:cs="Tahoma"/>
          <w:sz w:val="22"/>
          <w:szCs w:val="22"/>
          <w:lang w:val="en-GB"/>
        </w:rPr>
        <w:t xml:space="preserve"> Neighbourhood planning should not be conducted in secret. A solution to the negative impact of reliance on private sector developers, creating a legal void of effective participation, transparent governance and delivery, through business confidentiality claims, needs to be found. At the limit, this is open to corrupt practices; at least, it puts at the core of the delivery of this Plan a non-participatory process which is having negative outcomes in terms of poor developments and poor social infrastructure for communities across the city.</w:t>
      </w:r>
      <w:r w:rsidR="00B92D9C" w:rsidRPr="002D7F28">
        <w:rPr>
          <w:rFonts w:cs="Tahoma"/>
          <w:sz w:val="22"/>
          <w:szCs w:val="22"/>
          <w:lang w:val="en-GB"/>
        </w:rPr>
        <w:t xml:space="preserve"> </w:t>
      </w:r>
      <w:r w:rsidR="00A70980">
        <w:rPr>
          <w:rFonts w:cs="Tahoma"/>
          <w:sz w:val="22"/>
          <w:szCs w:val="22"/>
          <w:lang w:val="en-GB"/>
        </w:rPr>
        <w:t>E</w:t>
      </w:r>
      <w:r w:rsidR="00B92D9C" w:rsidRPr="002D7F28">
        <w:rPr>
          <w:rFonts w:cs="Tahoma"/>
          <w:sz w:val="22"/>
          <w:szCs w:val="22"/>
          <w:lang w:val="en-GB"/>
        </w:rPr>
        <w:t xml:space="preserve">vidence </w:t>
      </w:r>
      <w:r w:rsidR="00A70980">
        <w:rPr>
          <w:rFonts w:cs="Tahoma"/>
          <w:sz w:val="22"/>
          <w:szCs w:val="22"/>
          <w:lang w:val="en-GB"/>
        </w:rPr>
        <w:t>is available from many cases across the city, such as the</w:t>
      </w:r>
      <w:r w:rsidR="00B92D9C" w:rsidRPr="002D7F28">
        <w:rPr>
          <w:rFonts w:cs="Tahoma"/>
          <w:sz w:val="22"/>
          <w:szCs w:val="22"/>
          <w:lang w:val="en-GB"/>
        </w:rPr>
        <w:t xml:space="preserve"> early developments in the OPDC, brought forward by the Grand Union Alliance network of community groups (summary below).</w:t>
      </w:r>
    </w:p>
    <w:p w14:paraId="14BA2CF8" w14:textId="77777777" w:rsidR="00B46AAE" w:rsidRPr="002D7F28" w:rsidRDefault="00B46AAE">
      <w:pPr>
        <w:rPr>
          <w:rFonts w:cs="Tahoma"/>
          <w:sz w:val="22"/>
          <w:szCs w:val="22"/>
          <w:lang w:val="en-GB"/>
        </w:rPr>
      </w:pPr>
    </w:p>
    <w:p w14:paraId="664DC4DB" w14:textId="49DC8474" w:rsidR="00D02CCF" w:rsidRPr="00A70980" w:rsidRDefault="00B46AAE">
      <w:pPr>
        <w:rPr>
          <w:rFonts w:cs="Tahoma"/>
          <w:b/>
          <w:sz w:val="22"/>
          <w:szCs w:val="22"/>
          <w:lang w:val="en-GB"/>
        </w:rPr>
      </w:pPr>
      <w:r w:rsidRPr="002D7F28">
        <w:rPr>
          <w:rFonts w:cs="Tahoma"/>
          <w:b/>
          <w:sz w:val="22"/>
          <w:szCs w:val="22"/>
          <w:lang w:val="en-GB"/>
        </w:rPr>
        <w:t>Conclusions</w:t>
      </w:r>
    </w:p>
    <w:p w14:paraId="0025307E" w14:textId="63ECA7DB" w:rsidR="006A7539" w:rsidRDefault="00A70980" w:rsidP="00B46AAE">
      <w:pPr>
        <w:rPr>
          <w:rFonts w:cs="Tahoma"/>
          <w:sz w:val="22"/>
          <w:szCs w:val="22"/>
          <w:lang w:val="en-GB"/>
        </w:rPr>
      </w:pPr>
      <w:r w:rsidRPr="002D7F28">
        <w:rPr>
          <w:rFonts w:cs="Tahoma"/>
          <w:sz w:val="22"/>
          <w:szCs w:val="22"/>
          <w:lang w:val="en-GB"/>
        </w:rPr>
        <w:t>Clearly</w:t>
      </w:r>
      <w:r w:rsidRPr="002D7F28">
        <w:rPr>
          <w:rFonts w:eastAsia="Calibri" w:cs="Tahoma"/>
          <w:color w:val="000000"/>
          <w:sz w:val="22"/>
          <w:szCs w:val="22"/>
          <w:lang w:val="en-GB" w:eastAsia="en-GB"/>
        </w:rPr>
        <w:t xml:space="preserve"> housing delivery and transport infrastructure are critical areas for investment but there is also a significant need to invest in other things such as: green and social infrastructure, water, energy, waste and digital connectivity.</w:t>
      </w:r>
      <w:r w:rsidR="00175D38" w:rsidRPr="002D7F28">
        <w:rPr>
          <w:rFonts w:cs="Tahoma"/>
          <w:sz w:val="22"/>
          <w:szCs w:val="22"/>
        </w:rPr>
        <w:t xml:space="preserve"> Yet, </w:t>
      </w:r>
      <w:r w:rsidR="00B46AAE" w:rsidRPr="002D7F28">
        <w:rPr>
          <w:rFonts w:cs="Tahoma"/>
          <w:sz w:val="22"/>
          <w:szCs w:val="22"/>
        </w:rPr>
        <w:t>this plan prioritiz</w:t>
      </w:r>
      <w:r w:rsidR="00175D38" w:rsidRPr="002D7F28">
        <w:rPr>
          <w:rFonts w:cs="Tahoma"/>
          <w:sz w:val="22"/>
          <w:szCs w:val="22"/>
        </w:rPr>
        <w:t xml:space="preserve">es transport and housing delivery, meaning that essential services such as community, health, recreational or leisure amenities are jeopardized and put on the back-burner. </w:t>
      </w:r>
      <w:r w:rsidR="00175D38" w:rsidRPr="002D7F28">
        <w:rPr>
          <w:rFonts w:cs="Tahoma"/>
          <w:sz w:val="22"/>
          <w:szCs w:val="22"/>
          <w:lang w:val="en-GB"/>
        </w:rPr>
        <w:t>Regardless of the “good growth” ambitions of this new London Plan, and its range of sustainable planning policies, the absence of funding, and the dependence on private sector developers for delivery mean that the plan is creating a situation in which planning decisions will likely continue to encourage developments that significantly contradict the goals of the London Plan and fail to realise the principles</w:t>
      </w:r>
      <w:r>
        <w:rPr>
          <w:rFonts w:cs="Tahoma"/>
          <w:sz w:val="22"/>
          <w:szCs w:val="22"/>
          <w:lang w:val="en-GB"/>
        </w:rPr>
        <w:t xml:space="preserve"> of “A City for all Londoners”.</w:t>
      </w:r>
    </w:p>
    <w:p w14:paraId="37F2578B" w14:textId="77777777" w:rsidR="00E34EDF" w:rsidRDefault="00E34EDF" w:rsidP="00E34EDF">
      <w:pPr>
        <w:jc w:val="center"/>
      </w:pPr>
    </w:p>
    <w:p w14:paraId="67154CA1" w14:textId="77777777" w:rsidR="00E34EDF" w:rsidRDefault="00E34EDF" w:rsidP="00E34EDF">
      <w:pPr>
        <w:rPr>
          <w:u w:val="single"/>
        </w:rPr>
      </w:pPr>
      <w:r>
        <w:rPr>
          <w:u w:val="single"/>
        </w:rPr>
        <w:t>Here is a summary of the main points in the London Plan’s Chapter 11: “Funding the London Plan”:</w:t>
      </w:r>
    </w:p>
    <w:p w14:paraId="3729B439" w14:textId="77777777" w:rsidR="00E34EDF" w:rsidRDefault="00E34EDF" w:rsidP="00E34EDF">
      <w:pPr>
        <w:ind w:firstLine="720"/>
      </w:pPr>
    </w:p>
    <w:p w14:paraId="55F3D296" w14:textId="77777777" w:rsidR="00E34EDF" w:rsidRDefault="00E34EDF" w:rsidP="00E34EDF">
      <w:pPr>
        <w:ind w:firstLine="720"/>
      </w:pPr>
      <w:r>
        <w:rPr>
          <w:b/>
        </w:rPr>
        <w:t>Transport</w:t>
      </w:r>
      <w:r>
        <w:t xml:space="preserve"> funded through a combination of sources (see 11.1.28 p.447). The 2050 Infrastructure plan states that approximately ±£1.3 trillion is needed, and that the actual number is likely to be higher given inflation, clearly showing that a more efficient use of funds is needed to achieve the plan. Mega-infrastructure projects like HS2 or Crossrail 2 are the largest projects in terms of cost and time. Vehicle Excise Duty (VED) can provide revenue for roads and incentivise sustainable travel (see 11.1.33). </w:t>
      </w:r>
    </w:p>
    <w:p w14:paraId="05E2A335" w14:textId="77777777" w:rsidR="00E34EDF" w:rsidRDefault="00E34EDF" w:rsidP="00E34EDF"/>
    <w:p w14:paraId="629BCC25" w14:textId="77777777" w:rsidR="00E34EDF" w:rsidRDefault="00E34EDF" w:rsidP="00E34EDF">
      <w:pPr>
        <w:ind w:firstLine="720"/>
      </w:pPr>
      <w:r>
        <w:rPr>
          <w:b/>
        </w:rPr>
        <w:t>Housing</w:t>
      </w:r>
      <w:r>
        <w:t xml:space="preserve"> delivery depends on the expansion in the range of delivery models used, and the tenures and types of homes delivered (see 11.1.18). The Mayor has secured £3.15 billion to support 90,000 affordable housing, starting by 2021 (see 11.1.19). Initial estimates by GLA show that minimum £2.7 billion in public capital funding a year is needed for the housing need (see 11.1.20). Effective use of the land it owns and statutory powers if need be, and working with Mayoral Development Corporations, TfL, housing associations and developers are key for this delivery (see 11.1.23). Reforms regarding compulsory purchase should be explored. The launching of a “Small Sites, Small Builders” programme, alongside changes to CIL and new planning policies will help as well (see 11.1.24). </w:t>
      </w:r>
      <w:r>
        <w:br/>
      </w:r>
    </w:p>
    <w:p w14:paraId="0DF38182" w14:textId="77777777" w:rsidR="00E34EDF" w:rsidRDefault="00E34EDF" w:rsidP="00E34EDF">
      <w:pPr>
        <w:ind w:firstLine="720"/>
        <w:rPr>
          <w:b/>
        </w:rPr>
      </w:pPr>
      <w:r>
        <w:t xml:space="preserve">Provision of new </w:t>
      </w:r>
      <w:r>
        <w:rPr>
          <w:b/>
        </w:rPr>
        <w:t xml:space="preserve">schools </w:t>
      </w:r>
      <w:r>
        <w:t>and</w:t>
      </w:r>
      <w:r>
        <w:rPr>
          <w:b/>
        </w:rPr>
        <w:t xml:space="preserve"> health facilities </w:t>
      </w:r>
      <w:r>
        <w:t>is achieved mainly through CIL and section 106 contributions and through public and private joint ventures. “A specific fund for Primary care estate, the Estates and Technology Transformation Fund (ETTF) is in the second of a four-year programme (to 2020)”</w:t>
      </w:r>
      <w:r w:rsidRPr="00EF3FCD">
        <w:t xml:space="preserve"> </w:t>
      </w:r>
      <w:r>
        <w:t>(see 11.1.38).</w:t>
      </w:r>
      <w:r>
        <w:br/>
      </w:r>
      <w:r>
        <w:br/>
      </w:r>
    </w:p>
    <w:p w14:paraId="51BC1870" w14:textId="77777777" w:rsidR="00E34EDF" w:rsidRDefault="00E34EDF" w:rsidP="00E34EDF">
      <w:pPr>
        <w:ind w:firstLine="720"/>
      </w:pPr>
      <w:r>
        <w:t>Regarding</w:t>
      </w:r>
      <w:r>
        <w:rPr>
          <w:b/>
        </w:rPr>
        <w:t xml:space="preserve"> utilities </w:t>
      </w:r>
      <w:r>
        <w:t>funds are raised mainly by providers through user charges. “Mayor is working with providers and regulators to ensure the regulatory regime supports investment at the right time” (see 11.1.43).</w:t>
      </w:r>
    </w:p>
    <w:p w14:paraId="38027414" w14:textId="77777777" w:rsidR="00E34EDF" w:rsidRDefault="00E34EDF" w:rsidP="00E34EDF"/>
    <w:p w14:paraId="512BF29D" w14:textId="77777777" w:rsidR="00E34EDF" w:rsidRDefault="00E34EDF" w:rsidP="00E34EDF">
      <w:pPr>
        <w:ind w:firstLine="720"/>
      </w:pPr>
      <w:r>
        <w:t xml:space="preserve">“London Infrastructure Plan estimates £8 billion will be required to provide the </w:t>
      </w:r>
      <w:r>
        <w:rPr>
          <w:b/>
        </w:rPr>
        <w:t>digital connectivity infrastructure</w:t>
      </w:r>
      <w:r>
        <w:t xml:space="preserve"> London needs.” This will be “paid for upfront through finance or private equity investment backed by user charges”</w:t>
      </w:r>
      <w:r w:rsidRPr="00EF3FCD">
        <w:t xml:space="preserve"> </w:t>
      </w:r>
      <w:r>
        <w:t>(see 11.1.44).</w:t>
      </w:r>
      <w:r>
        <w:br/>
      </w:r>
    </w:p>
    <w:p w14:paraId="1E075897" w14:textId="77777777" w:rsidR="00E34EDF" w:rsidRDefault="00E34EDF" w:rsidP="00E34EDF">
      <w:pPr>
        <w:ind w:firstLine="720"/>
      </w:pPr>
      <w:r>
        <w:t xml:space="preserve">“Provision of </w:t>
      </w:r>
      <w:r>
        <w:rPr>
          <w:b/>
        </w:rPr>
        <w:t>green infrastructure</w:t>
      </w:r>
      <w:r>
        <w:t xml:space="preserve"> has traditionally been the responsibility of public authorities and various public or third-sector land-management bodies, but increasingly, a number of private sector actors (including utility companies, developers and businesses) are contributing to delivery” (see 11.1.46). In an attempt to address the problem of not properly valuing the services and benefits of green infrastructure, the Government has committed to including natural capital accounts in the UK Environmental Accounts by 2020” (see 11.1.48). Public sector main funder, however future funding may be derived from a wider range of public sector sources” new funding streams might include offsetting funds, new environmental levies to address specific challenges (such as surface water flooding), and new devolved mechanisms” (see 11.1.51).</w:t>
      </w:r>
    </w:p>
    <w:p w14:paraId="1ADE4D62" w14:textId="77777777" w:rsidR="00E34EDF" w:rsidRDefault="00E34EDF" w:rsidP="00E34EDF">
      <w:pPr>
        <w:ind w:firstLine="720"/>
      </w:pPr>
    </w:p>
    <w:p w14:paraId="5D4B68BD" w14:textId="77777777" w:rsidR="00E34EDF" w:rsidRDefault="00E34EDF" w:rsidP="00E34EDF">
      <w:pPr>
        <w:ind w:firstLine="720"/>
      </w:pPr>
      <w:r>
        <w:t xml:space="preserve">Business will lead the transition to a </w:t>
      </w:r>
      <w:r>
        <w:rPr>
          <w:b/>
        </w:rPr>
        <w:t xml:space="preserve">circular economy </w:t>
      </w:r>
      <w:r>
        <w:t>(mix of venture capital and equity) (see 11.1.54).</w:t>
      </w:r>
    </w:p>
    <w:p w14:paraId="30FE0715" w14:textId="77777777" w:rsidR="00E34EDF" w:rsidRDefault="00E34EDF" w:rsidP="00E34EDF">
      <w:pPr>
        <w:ind w:firstLine="720"/>
      </w:pPr>
    </w:p>
    <w:p w14:paraId="1C62841A" w14:textId="77777777" w:rsidR="00E34EDF" w:rsidRDefault="00E34EDF" w:rsidP="00E34EDF">
      <w:pPr>
        <w:ind w:firstLine="720"/>
      </w:pPr>
      <w:r>
        <w:rPr>
          <w:b/>
        </w:rPr>
        <w:t>Cultural infrastructure</w:t>
      </w:r>
      <w:r>
        <w:t xml:space="preserve"> “investment will need to be raised locally, including from CIL and Section 106 contributions.” “The Mayor will also explore other sources of investment including philanthropic funding. Additional sources of funding will also be required, but will be difficult to access unless London is given greater control over its local tax base” (see 11.1.57).</w:t>
      </w:r>
    </w:p>
    <w:p w14:paraId="0A729A43" w14:textId="77777777" w:rsidR="00E34EDF" w:rsidRDefault="00E34EDF" w:rsidP="00E34EDF"/>
    <w:p w14:paraId="6994B462" w14:textId="77777777" w:rsidR="00E34EDF" w:rsidRDefault="00E34EDF" w:rsidP="00E34EDF">
      <w:pPr>
        <w:ind w:firstLine="720"/>
      </w:pPr>
      <w:r>
        <w:rPr>
          <w:b/>
        </w:rPr>
        <w:t>Fiscal devolution</w:t>
      </w:r>
      <w:r>
        <w:t xml:space="preserve"> “required to help ensure that London can deliver this vital infrastructure efficiently and to budget” 2015/16: £136.7b, which was more than the total public expenditure devoted to London that year (£110 billion) (see 11.1.59).</w:t>
      </w:r>
    </w:p>
    <w:p w14:paraId="08D90EB6" w14:textId="77777777" w:rsidR="00E34EDF" w:rsidRDefault="00E34EDF" w:rsidP="00E34EDF"/>
    <w:p w14:paraId="0A16204E" w14:textId="77777777" w:rsidR="00E34EDF" w:rsidRDefault="00E34EDF" w:rsidP="00E34EDF">
      <w:pPr>
        <w:ind w:firstLine="720"/>
      </w:pPr>
      <w:r>
        <w:t>Capturing</w:t>
      </w:r>
      <w:r>
        <w:rPr>
          <w:b/>
        </w:rPr>
        <w:t xml:space="preserve"> Land Value Uplift </w:t>
      </w:r>
      <w:r>
        <w:t>“The Mayor will continue to</w:t>
      </w:r>
      <w:r>
        <w:rPr>
          <w:b/>
        </w:rPr>
        <w:t xml:space="preserve"> </w:t>
      </w:r>
      <w:r>
        <w:t>explore all avenues for ensuring Londoners receive the vital infrastructure required to support growth.” (see 11.1.65).</w:t>
      </w:r>
    </w:p>
    <w:p w14:paraId="206AB018" w14:textId="77777777" w:rsidR="00E34EDF" w:rsidRPr="00A70980" w:rsidRDefault="00E34EDF" w:rsidP="00B46AAE">
      <w:pPr>
        <w:rPr>
          <w:rFonts w:cs="Tahoma"/>
          <w:sz w:val="22"/>
          <w:szCs w:val="22"/>
        </w:rPr>
      </w:pPr>
    </w:p>
    <w:sectPr w:rsidR="00E34EDF" w:rsidRPr="00A70980" w:rsidSect="009A4CEC">
      <w:headerReference w:type="default" r:id="rId14"/>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31084" w14:textId="77777777" w:rsidR="009F05B1" w:rsidRDefault="009F05B1" w:rsidP="00B92D9C">
      <w:r>
        <w:separator/>
      </w:r>
    </w:p>
  </w:endnote>
  <w:endnote w:type="continuationSeparator" w:id="0">
    <w:p w14:paraId="19DA073F" w14:textId="77777777" w:rsidR="009F05B1" w:rsidRDefault="009F05B1" w:rsidP="00B9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Helvetica"/>
    <w:panose1 w:val="020F0502020204030204"/>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Times New Roman">
    <w:altName w:val="Times"/>
    <w:panose1 w:val="02020603050405020304"/>
    <w:charset w:val="00"/>
    <w:family w:val="auto"/>
    <w:notTrueType/>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MingLiU">
    <w:charset w:val="88"/>
    <w:family w:val="roman"/>
    <w:pitch w:val="variable"/>
    <w:sig w:usb0="A00002FF" w:usb1="28CFFCFA" w:usb2="00000016" w:usb3="00000000" w:csb0="00100001"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ourier New"/>
    <w:panose1 w:val="020F0302020204030204"/>
    <w:charset w:val="00"/>
    <w:family w:val="swiss"/>
    <w:pitch w:val="variable"/>
    <w:sig w:usb0="E0002AFF" w:usb1="C000247B" w:usb2="00000009" w:usb3="00000000" w:csb0="000001FF" w:csb1="00000000"/>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85036" w14:textId="77777777" w:rsidR="00962D96" w:rsidRDefault="00962D96" w:rsidP="00962D9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4C3CC" w14:textId="77777777" w:rsidR="00962D96" w:rsidRDefault="00962D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0D664" w14:textId="77777777" w:rsidR="00962D96" w:rsidRDefault="00962D96" w:rsidP="00962D9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E4B">
      <w:rPr>
        <w:rStyle w:val="PageNumber"/>
        <w:noProof/>
      </w:rPr>
      <w:t>1</w:t>
    </w:r>
    <w:r>
      <w:rPr>
        <w:rStyle w:val="PageNumber"/>
      </w:rPr>
      <w:fldChar w:fldCharType="end"/>
    </w:r>
  </w:p>
  <w:p w14:paraId="0D9ABB51" w14:textId="77777777" w:rsidR="00962D96" w:rsidRDefault="00962D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715BC" w14:textId="77777777" w:rsidR="009F05B1" w:rsidRDefault="009F05B1" w:rsidP="00B92D9C">
      <w:r>
        <w:separator/>
      </w:r>
    </w:p>
  </w:footnote>
  <w:footnote w:type="continuationSeparator" w:id="0">
    <w:p w14:paraId="64964C58" w14:textId="77777777" w:rsidR="009F05B1" w:rsidRDefault="009F05B1" w:rsidP="00B92D9C">
      <w:r>
        <w:continuationSeparator/>
      </w:r>
    </w:p>
  </w:footnote>
  <w:footnote w:id="1">
    <w:p w14:paraId="46309DB0" w14:textId="77777777" w:rsidR="000F4499" w:rsidRDefault="000F4499" w:rsidP="000F4499">
      <w:pPr>
        <w:rPr>
          <w:sz w:val="20"/>
          <w:szCs w:val="20"/>
        </w:rPr>
      </w:pPr>
      <w:r>
        <w:rPr>
          <w:vertAlign w:val="superscript"/>
        </w:rPr>
        <w:footnoteRef/>
      </w:r>
      <w:r>
        <w:rPr>
          <w:sz w:val="20"/>
          <w:szCs w:val="20"/>
        </w:rPr>
        <w:t xml:space="preserve"> As mentioned: </w:t>
      </w:r>
      <w:hyperlink r:id="rId1">
        <w:r>
          <w:rPr>
            <w:color w:val="1155CC"/>
            <w:sz w:val="20"/>
            <w:szCs w:val="20"/>
            <w:u w:val="single"/>
          </w:rPr>
          <w:t>https://www.london.gov.uk/about-us/london-assembly/london-assembly-committees/budget-and-performance-committee</w:t>
        </w:r>
      </w:hyperlink>
      <w:r>
        <w:rPr>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ECCB" w14:textId="29FC591C" w:rsidR="008B6E4B" w:rsidRPr="008B6E4B" w:rsidRDefault="008B6E4B" w:rsidP="008B6E4B">
    <w:pPr>
      <w:pStyle w:val="Header"/>
      <w:jc w:val="center"/>
      <w:rPr>
        <w:rFonts w:ascii="Helvetica" w:hAnsi="Helvetica"/>
        <w:sz w:val="20"/>
        <w:szCs w:val="20"/>
      </w:rPr>
    </w:pPr>
    <w:r w:rsidRPr="008B6E4B">
      <w:rPr>
        <w:rFonts w:ascii="Helvetica" w:hAnsi="Helvetica"/>
        <w:sz w:val="20"/>
        <w:szCs w:val="20"/>
      </w:rPr>
      <w:t>Briefing on LP financing page</w:t>
    </w:r>
    <w:r w:rsidRPr="008B6E4B">
      <w:rPr>
        <w:rStyle w:val="PageNumber"/>
        <w:rFonts w:ascii="Helvetica" w:hAnsi="Helvetica"/>
        <w:sz w:val="20"/>
        <w:szCs w:val="20"/>
      </w:rPr>
      <w:fldChar w:fldCharType="begin"/>
    </w:r>
    <w:r w:rsidRPr="008B6E4B">
      <w:rPr>
        <w:rStyle w:val="PageNumber"/>
        <w:rFonts w:ascii="Helvetica" w:hAnsi="Helvetica"/>
        <w:sz w:val="20"/>
        <w:szCs w:val="20"/>
      </w:rPr>
      <w:instrText xml:space="preserve"> PAGE </w:instrText>
    </w:r>
    <w:r w:rsidRPr="008B6E4B">
      <w:rPr>
        <w:rStyle w:val="PageNumber"/>
        <w:rFonts w:ascii="Helvetica" w:hAnsi="Helvetica"/>
        <w:sz w:val="20"/>
        <w:szCs w:val="20"/>
      </w:rPr>
      <w:fldChar w:fldCharType="separate"/>
    </w:r>
    <w:r>
      <w:rPr>
        <w:rStyle w:val="PageNumber"/>
        <w:rFonts w:ascii="Helvetica" w:hAnsi="Helvetica"/>
        <w:noProof/>
        <w:sz w:val="20"/>
        <w:szCs w:val="20"/>
      </w:rPr>
      <w:t>1</w:t>
    </w:r>
    <w:r w:rsidRPr="008B6E4B">
      <w:rPr>
        <w:rStyle w:val="PageNumber"/>
        <w:rFonts w:ascii="Helvetica" w:hAnsi="Helvetica"/>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7B9"/>
    <w:multiLevelType w:val="hybridMultilevel"/>
    <w:tmpl w:val="DC7287D8"/>
    <w:lvl w:ilvl="0" w:tplc="01686A60">
      <w:start w:val="1"/>
      <w:numFmt w:val="decimal"/>
      <w:lvlText w:val="(%1)"/>
      <w:lvlJc w:val="left"/>
      <w:pPr>
        <w:ind w:left="720" w:hanging="360"/>
      </w:pPr>
      <w:rPr>
        <w:rFonts w:asciiTheme="minorHAnsi" w:eastAsiaTheme="minorHAnsi" w:hAnsiTheme="minorHAnsi"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66E84"/>
    <w:multiLevelType w:val="hybridMultilevel"/>
    <w:tmpl w:val="9DC2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72050"/>
    <w:multiLevelType w:val="multilevel"/>
    <w:tmpl w:val="CB6ED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AD5"/>
    <w:rsid w:val="000453AC"/>
    <w:rsid w:val="00050343"/>
    <w:rsid w:val="000A5C19"/>
    <w:rsid w:val="000E6CAB"/>
    <w:rsid w:val="000F4499"/>
    <w:rsid w:val="00131CDB"/>
    <w:rsid w:val="00175D38"/>
    <w:rsid w:val="00191F11"/>
    <w:rsid w:val="001C27D6"/>
    <w:rsid w:val="001D7D5C"/>
    <w:rsid w:val="00221502"/>
    <w:rsid w:val="002A55C8"/>
    <w:rsid w:val="002D7F28"/>
    <w:rsid w:val="002F0C7D"/>
    <w:rsid w:val="0037140E"/>
    <w:rsid w:val="003D0077"/>
    <w:rsid w:val="004C38E6"/>
    <w:rsid w:val="004D53FA"/>
    <w:rsid w:val="005750CF"/>
    <w:rsid w:val="00584463"/>
    <w:rsid w:val="00602452"/>
    <w:rsid w:val="0063250A"/>
    <w:rsid w:val="006A7539"/>
    <w:rsid w:val="006C2736"/>
    <w:rsid w:val="006F6945"/>
    <w:rsid w:val="007210B1"/>
    <w:rsid w:val="007D7CF2"/>
    <w:rsid w:val="0086220F"/>
    <w:rsid w:val="0086583E"/>
    <w:rsid w:val="00876686"/>
    <w:rsid w:val="00877EAE"/>
    <w:rsid w:val="00891CB7"/>
    <w:rsid w:val="008A5E2E"/>
    <w:rsid w:val="008B6E4B"/>
    <w:rsid w:val="008C4692"/>
    <w:rsid w:val="009544ED"/>
    <w:rsid w:val="00962D96"/>
    <w:rsid w:val="009A475C"/>
    <w:rsid w:val="009A4CEC"/>
    <w:rsid w:val="009C63D6"/>
    <w:rsid w:val="009F05B1"/>
    <w:rsid w:val="009F796A"/>
    <w:rsid w:val="00A70980"/>
    <w:rsid w:val="00A93553"/>
    <w:rsid w:val="00B005D4"/>
    <w:rsid w:val="00B46AAE"/>
    <w:rsid w:val="00B60489"/>
    <w:rsid w:val="00B92D9C"/>
    <w:rsid w:val="00BD5881"/>
    <w:rsid w:val="00C473B2"/>
    <w:rsid w:val="00CC2F03"/>
    <w:rsid w:val="00D02CCF"/>
    <w:rsid w:val="00D729D1"/>
    <w:rsid w:val="00E30948"/>
    <w:rsid w:val="00E34EDF"/>
    <w:rsid w:val="00E94FB6"/>
    <w:rsid w:val="00EB6CD8"/>
    <w:rsid w:val="00EC31C0"/>
    <w:rsid w:val="00EE6AF2"/>
    <w:rsid w:val="00F00BC4"/>
    <w:rsid w:val="00F04FE5"/>
    <w:rsid w:val="00F1067D"/>
    <w:rsid w:val="00F26D5B"/>
    <w:rsid w:val="00F32215"/>
    <w:rsid w:val="00F96AA6"/>
    <w:rsid w:val="00FA4AD5"/>
    <w:rsid w:val="00FD6415"/>
    <w:rsid w:val="00FD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13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A4AD5"/>
    <w:rPr>
      <w:rFonts w:ascii="Arial" w:hAnsi="Arial" w:cs="Arial"/>
      <w:sz w:val="17"/>
      <w:szCs w:val="17"/>
    </w:rPr>
  </w:style>
  <w:style w:type="character" w:customStyle="1" w:styleId="apple-converted-space">
    <w:name w:val="apple-converted-space"/>
    <w:basedOn w:val="DefaultParagraphFont"/>
    <w:rsid w:val="00FA4AD5"/>
  </w:style>
  <w:style w:type="character" w:customStyle="1" w:styleId="s1">
    <w:name w:val="s1"/>
    <w:basedOn w:val="DefaultParagraphFont"/>
    <w:rsid w:val="004C38E6"/>
    <w:rPr>
      <w:rFonts w:ascii="Arial" w:hAnsi="Arial" w:cs="Arial" w:hint="default"/>
      <w:sz w:val="11"/>
      <w:szCs w:val="11"/>
    </w:rPr>
  </w:style>
  <w:style w:type="paragraph" w:customStyle="1" w:styleId="p2">
    <w:name w:val="p2"/>
    <w:basedOn w:val="Normal"/>
    <w:rsid w:val="006A7539"/>
    <w:rPr>
      <w:rFonts w:ascii="Helvetica" w:hAnsi="Helvetica" w:cs="Times New Roman"/>
      <w:color w:val="106DD7"/>
      <w:sz w:val="17"/>
      <w:szCs w:val="17"/>
    </w:rPr>
  </w:style>
  <w:style w:type="paragraph" w:styleId="ListParagraph">
    <w:name w:val="List Paragraph"/>
    <w:basedOn w:val="Normal"/>
    <w:uiPriority w:val="34"/>
    <w:qFormat/>
    <w:rsid w:val="00FD6415"/>
    <w:pPr>
      <w:ind w:left="720"/>
      <w:contextualSpacing/>
    </w:pPr>
  </w:style>
  <w:style w:type="paragraph" w:styleId="Footer">
    <w:name w:val="footer"/>
    <w:basedOn w:val="Normal"/>
    <w:link w:val="FooterChar"/>
    <w:uiPriority w:val="99"/>
    <w:unhideWhenUsed/>
    <w:rsid w:val="00B92D9C"/>
    <w:pPr>
      <w:tabs>
        <w:tab w:val="center" w:pos="4513"/>
        <w:tab w:val="right" w:pos="9026"/>
      </w:tabs>
    </w:pPr>
  </w:style>
  <w:style w:type="character" w:customStyle="1" w:styleId="FooterChar">
    <w:name w:val="Footer Char"/>
    <w:basedOn w:val="DefaultParagraphFont"/>
    <w:link w:val="Footer"/>
    <w:uiPriority w:val="99"/>
    <w:rsid w:val="00B92D9C"/>
  </w:style>
  <w:style w:type="character" w:styleId="PageNumber">
    <w:name w:val="page number"/>
    <w:basedOn w:val="DefaultParagraphFont"/>
    <w:uiPriority w:val="99"/>
    <w:semiHidden/>
    <w:unhideWhenUsed/>
    <w:rsid w:val="00B92D9C"/>
  </w:style>
  <w:style w:type="paragraph" w:styleId="BalloonText">
    <w:name w:val="Balloon Text"/>
    <w:basedOn w:val="Normal"/>
    <w:link w:val="BalloonTextChar"/>
    <w:uiPriority w:val="99"/>
    <w:semiHidden/>
    <w:unhideWhenUsed/>
    <w:rsid w:val="00962D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D96"/>
    <w:rPr>
      <w:rFonts w:ascii="Lucida Grande" w:hAnsi="Lucida Grande" w:cs="Lucida Grande"/>
      <w:sz w:val="18"/>
      <w:szCs w:val="18"/>
    </w:rPr>
  </w:style>
  <w:style w:type="character" w:styleId="Hyperlink">
    <w:name w:val="Hyperlink"/>
    <w:basedOn w:val="DefaultParagraphFont"/>
    <w:uiPriority w:val="99"/>
    <w:unhideWhenUsed/>
    <w:rsid w:val="006C2736"/>
    <w:rPr>
      <w:color w:val="0563C1" w:themeColor="hyperlink"/>
      <w:u w:val="single"/>
    </w:rPr>
  </w:style>
  <w:style w:type="paragraph" w:styleId="Header">
    <w:name w:val="header"/>
    <w:basedOn w:val="Normal"/>
    <w:link w:val="HeaderChar"/>
    <w:uiPriority w:val="99"/>
    <w:unhideWhenUsed/>
    <w:rsid w:val="008B6E4B"/>
    <w:pPr>
      <w:tabs>
        <w:tab w:val="center" w:pos="4320"/>
        <w:tab w:val="right" w:pos="8640"/>
      </w:tabs>
    </w:pPr>
  </w:style>
  <w:style w:type="character" w:customStyle="1" w:styleId="HeaderChar">
    <w:name w:val="Header Char"/>
    <w:basedOn w:val="DefaultParagraphFont"/>
    <w:link w:val="Header"/>
    <w:uiPriority w:val="99"/>
    <w:rsid w:val="008B6E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A4AD5"/>
    <w:rPr>
      <w:rFonts w:ascii="Arial" w:hAnsi="Arial" w:cs="Arial"/>
      <w:sz w:val="17"/>
      <w:szCs w:val="17"/>
    </w:rPr>
  </w:style>
  <w:style w:type="character" w:customStyle="1" w:styleId="apple-converted-space">
    <w:name w:val="apple-converted-space"/>
    <w:basedOn w:val="DefaultParagraphFont"/>
    <w:rsid w:val="00FA4AD5"/>
  </w:style>
  <w:style w:type="character" w:customStyle="1" w:styleId="s1">
    <w:name w:val="s1"/>
    <w:basedOn w:val="DefaultParagraphFont"/>
    <w:rsid w:val="004C38E6"/>
    <w:rPr>
      <w:rFonts w:ascii="Arial" w:hAnsi="Arial" w:cs="Arial" w:hint="default"/>
      <w:sz w:val="11"/>
      <w:szCs w:val="11"/>
    </w:rPr>
  </w:style>
  <w:style w:type="paragraph" w:customStyle="1" w:styleId="p2">
    <w:name w:val="p2"/>
    <w:basedOn w:val="Normal"/>
    <w:rsid w:val="006A7539"/>
    <w:rPr>
      <w:rFonts w:ascii="Helvetica" w:hAnsi="Helvetica" w:cs="Times New Roman"/>
      <w:color w:val="106DD7"/>
      <w:sz w:val="17"/>
      <w:szCs w:val="17"/>
    </w:rPr>
  </w:style>
  <w:style w:type="paragraph" w:styleId="ListParagraph">
    <w:name w:val="List Paragraph"/>
    <w:basedOn w:val="Normal"/>
    <w:uiPriority w:val="34"/>
    <w:qFormat/>
    <w:rsid w:val="00FD6415"/>
    <w:pPr>
      <w:ind w:left="720"/>
      <w:contextualSpacing/>
    </w:pPr>
  </w:style>
  <w:style w:type="paragraph" w:styleId="Footer">
    <w:name w:val="footer"/>
    <w:basedOn w:val="Normal"/>
    <w:link w:val="FooterChar"/>
    <w:uiPriority w:val="99"/>
    <w:unhideWhenUsed/>
    <w:rsid w:val="00B92D9C"/>
    <w:pPr>
      <w:tabs>
        <w:tab w:val="center" w:pos="4513"/>
        <w:tab w:val="right" w:pos="9026"/>
      </w:tabs>
    </w:pPr>
  </w:style>
  <w:style w:type="character" w:customStyle="1" w:styleId="FooterChar">
    <w:name w:val="Footer Char"/>
    <w:basedOn w:val="DefaultParagraphFont"/>
    <w:link w:val="Footer"/>
    <w:uiPriority w:val="99"/>
    <w:rsid w:val="00B92D9C"/>
  </w:style>
  <w:style w:type="character" w:styleId="PageNumber">
    <w:name w:val="page number"/>
    <w:basedOn w:val="DefaultParagraphFont"/>
    <w:uiPriority w:val="99"/>
    <w:semiHidden/>
    <w:unhideWhenUsed/>
    <w:rsid w:val="00B92D9C"/>
  </w:style>
  <w:style w:type="paragraph" w:styleId="BalloonText">
    <w:name w:val="Balloon Text"/>
    <w:basedOn w:val="Normal"/>
    <w:link w:val="BalloonTextChar"/>
    <w:uiPriority w:val="99"/>
    <w:semiHidden/>
    <w:unhideWhenUsed/>
    <w:rsid w:val="00962D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D96"/>
    <w:rPr>
      <w:rFonts w:ascii="Lucida Grande" w:hAnsi="Lucida Grande" w:cs="Lucida Grande"/>
      <w:sz w:val="18"/>
      <w:szCs w:val="18"/>
    </w:rPr>
  </w:style>
  <w:style w:type="character" w:styleId="Hyperlink">
    <w:name w:val="Hyperlink"/>
    <w:basedOn w:val="DefaultParagraphFont"/>
    <w:uiPriority w:val="99"/>
    <w:unhideWhenUsed/>
    <w:rsid w:val="006C2736"/>
    <w:rPr>
      <w:color w:val="0563C1" w:themeColor="hyperlink"/>
      <w:u w:val="single"/>
    </w:rPr>
  </w:style>
  <w:style w:type="paragraph" w:styleId="Header">
    <w:name w:val="header"/>
    <w:basedOn w:val="Normal"/>
    <w:link w:val="HeaderChar"/>
    <w:uiPriority w:val="99"/>
    <w:unhideWhenUsed/>
    <w:rsid w:val="008B6E4B"/>
    <w:pPr>
      <w:tabs>
        <w:tab w:val="center" w:pos="4320"/>
        <w:tab w:val="right" w:pos="8640"/>
      </w:tabs>
    </w:pPr>
  </w:style>
  <w:style w:type="character" w:customStyle="1" w:styleId="HeaderChar">
    <w:name w:val="Header Char"/>
    <w:basedOn w:val="DefaultParagraphFont"/>
    <w:link w:val="Header"/>
    <w:uiPriority w:val="99"/>
    <w:rsid w:val="008B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0495">
      <w:bodyDiv w:val="1"/>
      <w:marLeft w:val="0"/>
      <w:marRight w:val="0"/>
      <w:marTop w:val="0"/>
      <w:marBottom w:val="0"/>
      <w:divBdr>
        <w:top w:val="none" w:sz="0" w:space="0" w:color="auto"/>
        <w:left w:val="none" w:sz="0" w:space="0" w:color="auto"/>
        <w:bottom w:val="none" w:sz="0" w:space="0" w:color="auto"/>
        <w:right w:val="none" w:sz="0" w:space="0" w:color="auto"/>
      </w:divBdr>
    </w:div>
    <w:div w:id="487399785">
      <w:bodyDiv w:val="1"/>
      <w:marLeft w:val="0"/>
      <w:marRight w:val="0"/>
      <w:marTop w:val="0"/>
      <w:marBottom w:val="0"/>
      <w:divBdr>
        <w:top w:val="none" w:sz="0" w:space="0" w:color="auto"/>
        <w:left w:val="none" w:sz="0" w:space="0" w:color="auto"/>
        <w:bottom w:val="none" w:sz="0" w:space="0" w:color="auto"/>
        <w:right w:val="none" w:sz="0" w:space="0" w:color="auto"/>
      </w:divBdr>
    </w:div>
    <w:div w:id="520125925">
      <w:bodyDiv w:val="1"/>
      <w:marLeft w:val="0"/>
      <w:marRight w:val="0"/>
      <w:marTop w:val="0"/>
      <w:marBottom w:val="0"/>
      <w:divBdr>
        <w:top w:val="none" w:sz="0" w:space="0" w:color="auto"/>
        <w:left w:val="none" w:sz="0" w:space="0" w:color="auto"/>
        <w:bottom w:val="none" w:sz="0" w:space="0" w:color="auto"/>
        <w:right w:val="none" w:sz="0" w:space="0" w:color="auto"/>
      </w:divBdr>
    </w:div>
    <w:div w:id="554510906">
      <w:bodyDiv w:val="1"/>
      <w:marLeft w:val="0"/>
      <w:marRight w:val="0"/>
      <w:marTop w:val="0"/>
      <w:marBottom w:val="0"/>
      <w:divBdr>
        <w:top w:val="none" w:sz="0" w:space="0" w:color="auto"/>
        <w:left w:val="none" w:sz="0" w:space="0" w:color="auto"/>
        <w:bottom w:val="none" w:sz="0" w:space="0" w:color="auto"/>
        <w:right w:val="none" w:sz="0" w:space="0" w:color="auto"/>
      </w:divBdr>
    </w:div>
    <w:div w:id="834420726">
      <w:bodyDiv w:val="1"/>
      <w:marLeft w:val="0"/>
      <w:marRight w:val="0"/>
      <w:marTop w:val="0"/>
      <w:marBottom w:val="0"/>
      <w:divBdr>
        <w:top w:val="none" w:sz="0" w:space="0" w:color="auto"/>
        <w:left w:val="none" w:sz="0" w:space="0" w:color="auto"/>
        <w:bottom w:val="none" w:sz="0" w:space="0" w:color="auto"/>
        <w:right w:val="none" w:sz="0" w:space="0" w:color="auto"/>
      </w:divBdr>
    </w:div>
    <w:div w:id="1082800470">
      <w:bodyDiv w:val="1"/>
      <w:marLeft w:val="0"/>
      <w:marRight w:val="0"/>
      <w:marTop w:val="0"/>
      <w:marBottom w:val="0"/>
      <w:divBdr>
        <w:top w:val="none" w:sz="0" w:space="0" w:color="auto"/>
        <w:left w:val="none" w:sz="0" w:space="0" w:color="auto"/>
        <w:bottom w:val="none" w:sz="0" w:space="0" w:color="auto"/>
        <w:right w:val="none" w:sz="0" w:space="0" w:color="auto"/>
      </w:divBdr>
    </w:div>
    <w:div w:id="1464234611">
      <w:bodyDiv w:val="1"/>
      <w:marLeft w:val="0"/>
      <w:marRight w:val="0"/>
      <w:marTop w:val="0"/>
      <w:marBottom w:val="0"/>
      <w:divBdr>
        <w:top w:val="none" w:sz="0" w:space="0" w:color="auto"/>
        <w:left w:val="none" w:sz="0" w:space="0" w:color="auto"/>
        <w:bottom w:val="none" w:sz="0" w:space="0" w:color="auto"/>
        <w:right w:val="none" w:sz="0" w:space="0" w:color="auto"/>
      </w:divBdr>
    </w:div>
    <w:div w:id="1491019679">
      <w:bodyDiv w:val="1"/>
      <w:marLeft w:val="0"/>
      <w:marRight w:val="0"/>
      <w:marTop w:val="0"/>
      <w:marBottom w:val="0"/>
      <w:divBdr>
        <w:top w:val="none" w:sz="0" w:space="0" w:color="auto"/>
        <w:left w:val="none" w:sz="0" w:space="0" w:color="auto"/>
        <w:bottom w:val="none" w:sz="0" w:space="0" w:color="auto"/>
        <w:right w:val="none" w:sz="0" w:space="0" w:color="auto"/>
      </w:divBdr>
    </w:div>
    <w:div w:id="1976836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london.gov.uk/what-we-do/planning/implementing-london-plan/supplementary-planning-guidance/affordable-housing-and" TargetMode="External"/><Relationship Id="rId12" Type="http://schemas.openxmlformats.org/officeDocument/2006/relationships/hyperlink" Target="https://www.london.gov.uk/sites/default/files/devolution_-_a_capital_idea_lfc_2017.pdf" TargetMode="External"/><Relationship Id="rId13" Type="http://schemas.openxmlformats.org/officeDocument/2006/relationships/hyperlink" Target="https://www.london.gov.uk/what-we-do/regeneration/regeneration-publications/strategic-review-old-oak-and-park-roya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ondon.gov.uk/sites/default/files/london_plan_viability_study_dec_2017.pdf" TargetMode="External"/><Relationship Id="rId9" Type="http://schemas.openxmlformats.org/officeDocument/2006/relationships/hyperlink" Target="https://www.london.gov.uk/what-we-do/planning/london-plan/new-london-plan/download-draft-london-plan-0" TargetMode="External"/><Relationship Id="rId10" Type="http://schemas.openxmlformats.org/officeDocument/2006/relationships/hyperlink" Target="https://www.london.gov.uk/about-us/organisations-we-work/old-oak-and-park-royal-development-corporation-opdc/get-involved-o--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ndon.gov.uk/about-us/london-assembly/london-assembly-committees/budget-and-performance-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3208</Words>
  <Characters>17551</Characters>
  <Application>Microsoft Macintosh Word</Application>
  <DocSecurity>0</DocSecurity>
  <Lines>344</Lines>
  <Paragraphs>101</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Edwards</cp:lastModifiedBy>
  <cp:revision>5</cp:revision>
  <dcterms:created xsi:type="dcterms:W3CDTF">2018-02-23T16:44:00Z</dcterms:created>
  <dcterms:modified xsi:type="dcterms:W3CDTF">2018-02-24T04:22:00Z</dcterms:modified>
</cp:coreProperties>
</file>