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C8BB4C" w14:textId="77777777" w:rsidR="00131C18" w:rsidRDefault="004A33FB">
      <w:pPr>
        <w:pStyle w:val="normal0"/>
        <w:rPr>
          <w:rFonts w:ascii="Nunito" w:eastAsia="Nunito" w:hAnsi="Nunito" w:cs="Nunito"/>
          <w:b/>
          <w:sz w:val="44"/>
          <w:szCs w:val="44"/>
          <w:u w:val="single"/>
        </w:rPr>
      </w:pPr>
      <w:r>
        <w:rPr>
          <w:rFonts w:ascii="Nunito" w:eastAsia="Nunito" w:hAnsi="Nunito" w:cs="Nunito"/>
          <w:b/>
          <w:sz w:val="44"/>
          <w:szCs w:val="44"/>
          <w:u w:val="single"/>
        </w:rPr>
        <w:t>Land and Housing: A Response to the Draft London Plan</w:t>
      </w:r>
    </w:p>
    <w:p w14:paraId="0F719381" w14:textId="77777777" w:rsidR="004A33FB" w:rsidRDefault="004A33FB" w:rsidP="004A33FB">
      <w:pPr>
        <w:pStyle w:val="normal0"/>
        <w:rPr>
          <w:rFonts w:ascii="Nunito" w:eastAsia="Nunito" w:hAnsi="Nunito" w:cs="Nunito"/>
          <w:b/>
          <w:sz w:val="20"/>
          <w:szCs w:val="20"/>
        </w:rPr>
      </w:pPr>
      <w:r>
        <w:rPr>
          <w:rFonts w:ascii="Nunito" w:eastAsia="Nunito" w:hAnsi="Nunito" w:cs="Nunito"/>
          <w:b/>
          <w:sz w:val="20"/>
          <w:szCs w:val="20"/>
        </w:rPr>
        <w:t>Cova Cervilla, Jon Gilbert, Jon Slight, Adele Worsley</w:t>
      </w:r>
      <w:r w:rsidR="008B657D">
        <w:rPr>
          <w:rFonts w:ascii="Nunito" w:eastAsia="Nunito" w:hAnsi="Nunito" w:cs="Nunito"/>
          <w:b/>
          <w:sz w:val="20"/>
          <w:szCs w:val="20"/>
        </w:rPr>
        <w:t xml:space="preserve"> (UCL)</w:t>
      </w:r>
    </w:p>
    <w:p w14:paraId="42F0A0E6" w14:textId="13346F91" w:rsidR="00131C18" w:rsidRPr="00FD45DA" w:rsidRDefault="004A33FB" w:rsidP="004A33FB">
      <w:pPr>
        <w:pStyle w:val="normal0"/>
        <w:rPr>
          <w:rFonts w:ascii="Nunito" w:eastAsia="Nunito" w:hAnsi="Nunito" w:cs="Nunito"/>
          <w:b/>
          <w:sz w:val="28"/>
          <w:szCs w:val="28"/>
        </w:rPr>
      </w:pPr>
      <w:r w:rsidRPr="00FD45DA">
        <w:rPr>
          <w:rFonts w:ascii="Nunito" w:eastAsia="Nunito" w:hAnsi="Nunito" w:cs="Nunito"/>
          <w:b/>
          <w:sz w:val="28"/>
          <w:szCs w:val="28"/>
        </w:rPr>
        <w:t>1: Density of new housing</w:t>
      </w:r>
    </w:p>
    <w:p w14:paraId="14CAB39A" w14:textId="77777777" w:rsidR="00131C18" w:rsidRDefault="004A33FB">
      <w:pPr>
        <w:pStyle w:val="Heading2"/>
        <w:spacing w:before="120" w:after="0" w:line="252" w:lineRule="auto"/>
        <w:jc w:val="both"/>
        <w:rPr>
          <w:rFonts w:ascii="Nunito" w:eastAsia="Nunito" w:hAnsi="Nunito" w:cs="Nunito"/>
          <w:b/>
          <w:sz w:val="26"/>
          <w:szCs w:val="26"/>
          <w:u w:val="single"/>
        </w:rPr>
      </w:pPr>
      <w:r>
        <w:rPr>
          <w:rFonts w:ascii="Nunito" w:eastAsia="Nunito" w:hAnsi="Nunito" w:cs="Nunito"/>
          <w:b/>
          <w:sz w:val="26"/>
          <w:szCs w:val="26"/>
          <w:u w:val="single"/>
        </w:rPr>
        <w:t>What is the density matrix?</w:t>
      </w:r>
    </w:p>
    <w:p w14:paraId="3F58D397" w14:textId="77777777" w:rsidR="00131C18" w:rsidRDefault="004A33FB">
      <w:pPr>
        <w:pStyle w:val="normal0"/>
        <w:spacing w:after="160" w:line="252" w:lineRule="auto"/>
        <w:jc w:val="both"/>
        <w:rPr>
          <w:rFonts w:ascii="Nunito" w:eastAsia="Nunito" w:hAnsi="Nunito" w:cs="Nunito"/>
        </w:rPr>
      </w:pPr>
      <w:bookmarkStart w:id="0" w:name="_gjdgxs" w:colFirst="0" w:colLast="0"/>
      <w:bookmarkEnd w:id="0"/>
      <w:r>
        <w:rPr>
          <w:rFonts w:ascii="Nunito" w:eastAsia="Nunito" w:hAnsi="Nunito" w:cs="Nunito"/>
        </w:rPr>
        <w:t>The density matrix has</w:t>
      </w:r>
      <w:r w:rsidR="008B657D">
        <w:rPr>
          <w:rFonts w:ascii="Nunito" w:eastAsia="Nunito" w:hAnsi="Nunito" w:cs="Nunito"/>
        </w:rPr>
        <w:t xml:space="preserve"> (at least in theory)</w:t>
      </w:r>
      <w:r>
        <w:rPr>
          <w:rFonts w:ascii="Nunito" w:eastAsia="Nunito" w:hAnsi="Nunito" w:cs="Nunito"/>
        </w:rPr>
        <w:t xml:space="preserve"> been used by the GLA to control housing density for new buildings across the city. Density is supposed to be </w:t>
      </w:r>
      <w:r w:rsidR="008B657D">
        <w:rPr>
          <w:rFonts w:ascii="Nunito" w:eastAsia="Nunito" w:hAnsi="Nunito" w:cs="Nunito"/>
        </w:rPr>
        <w:t>related</w:t>
      </w:r>
      <w:r>
        <w:rPr>
          <w:rFonts w:ascii="Nunito" w:eastAsia="Nunito" w:hAnsi="Nunito" w:cs="Nunito"/>
        </w:rPr>
        <w:t xml:space="preserve"> to pub</w:t>
      </w:r>
      <w:r w:rsidR="008B657D">
        <w:rPr>
          <w:rFonts w:ascii="Nunito" w:eastAsia="Nunito" w:hAnsi="Nunito" w:cs="Nunito"/>
        </w:rPr>
        <w:t>lic transport accessibility, so dense</w:t>
      </w:r>
      <w:r>
        <w:rPr>
          <w:rFonts w:ascii="Nunito" w:eastAsia="Nunito" w:hAnsi="Nunito" w:cs="Nunito"/>
        </w:rPr>
        <w:t xml:space="preserve"> new developments should be located close to transport hubs with frequent services. </w:t>
      </w:r>
    </w:p>
    <w:p w14:paraId="4DBA2DFB" w14:textId="77777777" w:rsidR="00131C18" w:rsidRDefault="004A33FB">
      <w:pPr>
        <w:pStyle w:val="normal0"/>
        <w:spacing w:after="160" w:line="252" w:lineRule="auto"/>
        <w:jc w:val="both"/>
        <w:rPr>
          <w:rFonts w:ascii="Nunito" w:eastAsia="Nunito" w:hAnsi="Nunito" w:cs="Nunito"/>
          <w:b/>
          <w:sz w:val="24"/>
          <w:szCs w:val="24"/>
          <w:u w:val="single"/>
        </w:rPr>
      </w:pPr>
      <w:r>
        <w:rPr>
          <w:rFonts w:ascii="Nunito" w:eastAsia="Nunito" w:hAnsi="Nunito" w:cs="Nunito"/>
        </w:rPr>
        <w:t>This was embodied with an advisory matrix in which Public Transport Accessibility Level (PTAL) allows you to read off the range of permitted housing densities (see table)</w:t>
      </w:r>
      <w:r w:rsidR="008B657D">
        <w:rPr>
          <w:rFonts w:ascii="Nunito" w:eastAsia="Nunito" w:hAnsi="Nunito" w:cs="Nunito"/>
        </w:rPr>
        <w:t xml:space="preserve"> for each of three kinds of ‘setting’ (context).</w:t>
      </w:r>
    </w:p>
    <w:p w14:paraId="7A82E620" w14:textId="77777777" w:rsidR="00131C18" w:rsidRDefault="004A33FB">
      <w:pPr>
        <w:pStyle w:val="Heading2"/>
        <w:spacing w:before="120" w:after="0" w:line="252" w:lineRule="auto"/>
        <w:jc w:val="both"/>
        <w:rPr>
          <w:rFonts w:ascii="Nunito" w:eastAsia="Nunito" w:hAnsi="Nunito" w:cs="Nunito"/>
          <w:b/>
          <w:sz w:val="24"/>
          <w:szCs w:val="24"/>
          <w:u w:val="single"/>
        </w:rPr>
      </w:pPr>
      <w:bookmarkStart w:id="1" w:name="_6z9njzhqdaaj" w:colFirst="0" w:colLast="0"/>
      <w:bookmarkEnd w:id="1"/>
      <w:r>
        <w:rPr>
          <w:rFonts w:ascii="Nunito" w:eastAsia="Nunito" w:hAnsi="Nunito" w:cs="Nunito"/>
          <w:b/>
          <w:noProof/>
          <w:sz w:val="24"/>
          <w:szCs w:val="24"/>
          <w:u w:val="single"/>
          <w:lang w:val="en-US"/>
        </w:rPr>
        <w:drawing>
          <wp:inline distT="114300" distB="114300" distL="114300" distR="114300" wp14:anchorId="39C0CDF8" wp14:editId="34AA83D4">
            <wp:extent cx="5330471" cy="3014663"/>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330471" cy="3014663"/>
                    </a:xfrm>
                    <a:prstGeom prst="rect">
                      <a:avLst/>
                    </a:prstGeom>
                    <a:ln/>
                  </pic:spPr>
                </pic:pic>
              </a:graphicData>
            </a:graphic>
          </wp:inline>
        </w:drawing>
      </w:r>
    </w:p>
    <w:p w14:paraId="12B68278" w14:textId="77777777" w:rsidR="004752FE" w:rsidRDefault="004752FE" w:rsidP="004752FE">
      <w:pPr>
        <w:pStyle w:val="normal0"/>
        <w:spacing w:line="240" w:lineRule="auto"/>
        <w:textDirection w:val="btLr"/>
        <w:rPr>
          <w:rFonts w:ascii="Nunito" w:eastAsia="Nunito" w:hAnsi="Nunito" w:cs="Nunito"/>
          <w:sz w:val="16"/>
        </w:rPr>
      </w:pPr>
      <w:bookmarkStart w:id="2" w:name="_yhx1of4oae5c" w:colFirst="0" w:colLast="0"/>
      <w:bookmarkEnd w:id="2"/>
      <w:r>
        <w:rPr>
          <w:rFonts w:ascii="Nunito" w:eastAsia="Nunito" w:hAnsi="Nunito" w:cs="Nunito"/>
          <w:sz w:val="16"/>
        </w:rPr>
        <w:t>Source: The current London Plan 2016. Policy 3.4.</w:t>
      </w:r>
    </w:p>
    <w:p w14:paraId="0DAB163A" w14:textId="77777777" w:rsidR="004A33FB" w:rsidRDefault="004A33FB" w:rsidP="004752FE">
      <w:pPr>
        <w:pStyle w:val="normal0"/>
        <w:spacing w:line="240" w:lineRule="auto"/>
        <w:textDirection w:val="btLr"/>
      </w:pPr>
    </w:p>
    <w:p w14:paraId="22495DB7" w14:textId="13DFDD19" w:rsidR="00131C18" w:rsidRDefault="004A33FB">
      <w:pPr>
        <w:pStyle w:val="normal0"/>
        <w:spacing w:after="160" w:line="252" w:lineRule="auto"/>
        <w:jc w:val="both"/>
        <w:rPr>
          <w:rFonts w:ascii="Nunito" w:eastAsia="Nunito" w:hAnsi="Nunito" w:cs="Nunito"/>
        </w:rPr>
      </w:pPr>
      <w:r>
        <w:rPr>
          <w:rFonts w:ascii="Nunito" w:eastAsia="Nunito" w:hAnsi="Nunito" w:cs="Nunito"/>
        </w:rPr>
        <w:t xml:space="preserve">However, between 2016 and </w:t>
      </w:r>
      <w:r w:rsidR="004752FE">
        <w:rPr>
          <w:rFonts w:ascii="Nunito" w:eastAsia="Nunito" w:hAnsi="Nunito" w:cs="Nunito"/>
        </w:rPr>
        <w:t xml:space="preserve">the </w:t>
      </w:r>
      <w:r>
        <w:rPr>
          <w:rFonts w:ascii="Nunito" w:eastAsia="Nunito" w:hAnsi="Nunito" w:cs="Nunito"/>
        </w:rPr>
        <w:t>2017</w:t>
      </w:r>
      <w:r w:rsidR="004752FE">
        <w:rPr>
          <w:rFonts w:ascii="Nunito" w:eastAsia="Nunito" w:hAnsi="Nunito" w:cs="Nunito"/>
        </w:rPr>
        <w:t xml:space="preserve"> draft</w:t>
      </w:r>
      <w:r>
        <w:rPr>
          <w:rFonts w:ascii="Nunito" w:eastAsia="Nunito" w:hAnsi="Nunito" w:cs="Nunito"/>
        </w:rPr>
        <w:t>, the density matrix was scrapped from the London Plan and a more</w:t>
      </w:r>
      <w:r w:rsidR="004752FE">
        <w:rPr>
          <w:rFonts w:ascii="Nunito" w:eastAsia="Nunito" w:hAnsi="Nunito" w:cs="Nunito"/>
        </w:rPr>
        <w:t xml:space="preserve"> design-led approach has been pro</w:t>
      </w:r>
      <w:r>
        <w:rPr>
          <w:rFonts w:ascii="Nunito" w:eastAsia="Nunito" w:hAnsi="Nunito" w:cs="Nunito"/>
        </w:rPr>
        <w:t xml:space="preserve">posed. </w:t>
      </w:r>
    </w:p>
    <w:p w14:paraId="739CE8E1" w14:textId="77777777" w:rsidR="00131C18" w:rsidRDefault="004A33FB">
      <w:pPr>
        <w:pStyle w:val="Heading3"/>
        <w:spacing w:before="120" w:after="0" w:line="252" w:lineRule="auto"/>
        <w:jc w:val="both"/>
        <w:rPr>
          <w:rFonts w:ascii="Nunito" w:eastAsia="Nunito" w:hAnsi="Nunito" w:cs="Nunito"/>
          <w:color w:val="000000"/>
          <w:sz w:val="24"/>
          <w:szCs w:val="24"/>
        </w:rPr>
      </w:pPr>
      <w:r>
        <w:rPr>
          <w:rFonts w:ascii="Nunito" w:eastAsia="Nunito" w:hAnsi="Nunito" w:cs="Nunito"/>
          <w:color w:val="000000"/>
          <w:sz w:val="24"/>
          <w:szCs w:val="24"/>
        </w:rPr>
        <w:t xml:space="preserve">London Plan 2016 – Chapter 3, 3.4 Optimising Housing Potential </w:t>
      </w:r>
    </w:p>
    <w:p w14:paraId="659EF0CE" w14:textId="77777777" w:rsidR="00131C18" w:rsidRDefault="004A33FB">
      <w:pPr>
        <w:pStyle w:val="normal0"/>
        <w:spacing w:after="160" w:line="252" w:lineRule="auto"/>
        <w:jc w:val="both"/>
        <w:rPr>
          <w:rFonts w:ascii="Nunito" w:eastAsia="Nunito" w:hAnsi="Nunito" w:cs="Nunito"/>
        </w:rPr>
      </w:pPr>
      <w:r>
        <w:rPr>
          <w:rFonts w:ascii="Nunito" w:eastAsia="Nunito" w:hAnsi="Nunito" w:cs="Nunito"/>
        </w:rPr>
        <w:t>“Taking into account local context and character, the design principles in Chapter 7 and public transport capacity, development should optimise housing output for different types of location within the relevant density range shown in Table 3.2. Development proposals which compromise this policy should be resisted.” (p. 100)</w:t>
      </w:r>
    </w:p>
    <w:p w14:paraId="1D88EC6C" w14:textId="77777777" w:rsidR="00131C18" w:rsidRDefault="004A33FB">
      <w:pPr>
        <w:pStyle w:val="Heading3"/>
        <w:spacing w:before="120" w:after="0" w:line="252" w:lineRule="auto"/>
        <w:jc w:val="both"/>
        <w:rPr>
          <w:rFonts w:ascii="Nunito" w:eastAsia="Nunito" w:hAnsi="Nunito" w:cs="Nunito"/>
          <w:color w:val="000000"/>
          <w:sz w:val="24"/>
          <w:szCs w:val="24"/>
        </w:rPr>
      </w:pPr>
      <w:bookmarkStart w:id="3" w:name="_1fob9te" w:colFirst="0" w:colLast="0"/>
      <w:bookmarkEnd w:id="3"/>
      <w:r>
        <w:rPr>
          <w:rFonts w:ascii="Nunito" w:eastAsia="Nunito" w:hAnsi="Nunito" w:cs="Nunito"/>
          <w:color w:val="000000"/>
          <w:sz w:val="24"/>
          <w:szCs w:val="24"/>
        </w:rPr>
        <w:t xml:space="preserve">London Plan DRAFT 2017 – Chapter 3, Policy D6 Optimising Housing Density </w:t>
      </w:r>
    </w:p>
    <w:p w14:paraId="28E2C00E" w14:textId="77777777" w:rsidR="00131C18" w:rsidRDefault="004A33FB">
      <w:pPr>
        <w:pStyle w:val="normal0"/>
        <w:spacing w:after="160" w:line="252" w:lineRule="auto"/>
        <w:jc w:val="both"/>
        <w:rPr>
          <w:rFonts w:ascii="Nunito" w:eastAsia="Nunito" w:hAnsi="Nunito" w:cs="Nunito"/>
        </w:rPr>
      </w:pPr>
      <w:r>
        <w:rPr>
          <w:rFonts w:ascii="Nunito" w:eastAsia="Nunito" w:hAnsi="Nunito" w:cs="Nunito"/>
        </w:rPr>
        <w:t xml:space="preserve">“Development proposals must make the most efficient use of land and be developed at the optimum density. The optimum density of a development should result from </w:t>
      </w:r>
      <w:r>
        <w:rPr>
          <w:rFonts w:ascii="Nunito" w:eastAsia="Nunito" w:hAnsi="Nunito" w:cs="Nunito"/>
          <w:b/>
        </w:rPr>
        <w:t>a design-led approach to determine the capacity of the site</w:t>
      </w:r>
      <w:r>
        <w:rPr>
          <w:rFonts w:ascii="Nunito" w:eastAsia="Nunito" w:hAnsi="Nunito" w:cs="Nunito"/>
        </w:rPr>
        <w:t>. Particular consideration should be given to:</w:t>
      </w:r>
    </w:p>
    <w:p w14:paraId="1DEEA43E" w14:textId="77777777" w:rsidR="00131C18" w:rsidRDefault="004A33FB">
      <w:pPr>
        <w:pStyle w:val="normal0"/>
        <w:numPr>
          <w:ilvl w:val="0"/>
          <w:numId w:val="2"/>
        </w:numPr>
        <w:spacing w:line="252" w:lineRule="auto"/>
        <w:contextualSpacing/>
        <w:jc w:val="both"/>
        <w:rPr>
          <w:rFonts w:ascii="Nunito" w:eastAsia="Nunito" w:hAnsi="Nunito" w:cs="Nunito"/>
        </w:rPr>
      </w:pPr>
      <w:r>
        <w:rPr>
          <w:rFonts w:ascii="Nunito" w:eastAsia="Nunito" w:hAnsi="Nunito" w:cs="Nunito"/>
        </w:rPr>
        <w:lastRenderedPageBreak/>
        <w:t xml:space="preserve">the site context </w:t>
      </w:r>
    </w:p>
    <w:p w14:paraId="671F991E" w14:textId="77777777" w:rsidR="00131C18" w:rsidRDefault="004A33FB">
      <w:pPr>
        <w:pStyle w:val="normal0"/>
        <w:numPr>
          <w:ilvl w:val="0"/>
          <w:numId w:val="2"/>
        </w:numPr>
        <w:spacing w:line="252" w:lineRule="auto"/>
        <w:contextualSpacing/>
        <w:jc w:val="both"/>
        <w:rPr>
          <w:rFonts w:ascii="Nunito" w:eastAsia="Nunito" w:hAnsi="Nunito" w:cs="Nunito"/>
        </w:rPr>
      </w:pPr>
      <w:r>
        <w:rPr>
          <w:rFonts w:ascii="Nunito" w:eastAsia="Nunito" w:hAnsi="Nunito" w:cs="Nunito"/>
        </w:rPr>
        <w:t>its connectivity and accessibility by walking and cycling, and existing and planned public transport (including PTAL)</w:t>
      </w:r>
    </w:p>
    <w:p w14:paraId="4241EF63" w14:textId="77777777" w:rsidR="00131C18" w:rsidRDefault="004A33FB">
      <w:pPr>
        <w:pStyle w:val="normal0"/>
        <w:numPr>
          <w:ilvl w:val="0"/>
          <w:numId w:val="2"/>
        </w:numPr>
        <w:spacing w:after="160" w:line="252" w:lineRule="auto"/>
        <w:contextualSpacing/>
        <w:jc w:val="both"/>
        <w:rPr>
          <w:rFonts w:ascii="Nunito" w:eastAsia="Nunito" w:hAnsi="Nunito" w:cs="Nunito"/>
        </w:rPr>
      </w:pPr>
      <w:r>
        <w:rPr>
          <w:rFonts w:ascii="Nunito" w:eastAsia="Nunito" w:hAnsi="Nunito" w:cs="Nunito"/>
        </w:rPr>
        <w:t>the capacity of surrounding infrastructure.</w:t>
      </w:r>
    </w:p>
    <w:p w14:paraId="76897A7C" w14:textId="77777777" w:rsidR="00131C18" w:rsidRDefault="004A33FB">
      <w:pPr>
        <w:pStyle w:val="normal0"/>
        <w:spacing w:after="160" w:line="252" w:lineRule="auto"/>
        <w:jc w:val="both"/>
        <w:rPr>
          <w:rFonts w:ascii="Nunito" w:eastAsia="Nunito" w:hAnsi="Nunito" w:cs="Nunito"/>
        </w:rPr>
      </w:pPr>
      <w:r>
        <w:rPr>
          <w:rFonts w:ascii="Nunito" w:eastAsia="Nunito" w:hAnsi="Nunito" w:cs="Nunito"/>
        </w:rPr>
        <w:t xml:space="preserve">Proposed residential development that does not demonstrably optimise the housing density of the site in accordance with this policy should be refused.” (p. 117) </w:t>
      </w:r>
    </w:p>
    <w:p w14:paraId="132CD8DE" w14:textId="77777777" w:rsidR="00131C18" w:rsidRDefault="004A33FB">
      <w:pPr>
        <w:pStyle w:val="Heading2"/>
        <w:spacing w:after="160" w:line="252" w:lineRule="auto"/>
        <w:jc w:val="both"/>
      </w:pPr>
      <w:bookmarkStart w:id="4" w:name="_lt0fwe71bhf4" w:colFirst="0" w:colLast="0"/>
      <w:bookmarkEnd w:id="4"/>
      <w:r>
        <w:rPr>
          <w:rFonts w:ascii="Nunito" w:eastAsia="Nunito" w:hAnsi="Nunito" w:cs="Nunito"/>
          <w:b/>
          <w:sz w:val="26"/>
          <w:szCs w:val="26"/>
          <w:u w:val="single"/>
        </w:rPr>
        <w:t>Our Response:</w:t>
      </w:r>
    </w:p>
    <w:p w14:paraId="1EC3D2FD" w14:textId="0E31CCCB" w:rsidR="00131C18" w:rsidRPr="004752FE" w:rsidRDefault="004A33FB" w:rsidP="004752FE">
      <w:pPr>
        <w:pStyle w:val="Heading2"/>
        <w:spacing w:before="120" w:after="0" w:line="252" w:lineRule="auto"/>
        <w:jc w:val="both"/>
        <w:rPr>
          <w:rFonts w:ascii="Nunito" w:eastAsia="Nunito" w:hAnsi="Nunito" w:cs="Nunito"/>
          <w:b/>
          <w:sz w:val="24"/>
          <w:szCs w:val="24"/>
          <w:u w:val="single"/>
        </w:rPr>
      </w:pPr>
      <w:r>
        <w:rPr>
          <w:rFonts w:ascii="Nunito" w:eastAsia="Nunito" w:hAnsi="Nunito" w:cs="Nunito"/>
          <w:b/>
          <w:sz w:val="24"/>
          <w:szCs w:val="24"/>
          <w:u w:val="single"/>
        </w:rPr>
        <w:t xml:space="preserve">1.Bring back the density matrix  </w:t>
      </w:r>
    </w:p>
    <w:p w14:paraId="598202CF" w14:textId="77777777" w:rsidR="00131C18" w:rsidRDefault="004A33FB">
      <w:pPr>
        <w:pStyle w:val="normal0"/>
        <w:spacing w:after="160" w:line="252" w:lineRule="auto"/>
        <w:jc w:val="both"/>
        <w:rPr>
          <w:rFonts w:ascii="Nunito" w:eastAsia="Nunito" w:hAnsi="Nunito" w:cs="Nunito"/>
        </w:rPr>
      </w:pPr>
      <w:r>
        <w:rPr>
          <w:rFonts w:ascii="Nunito" w:eastAsia="Nunito" w:hAnsi="Nunito" w:cs="Nunito"/>
        </w:rPr>
        <w:t xml:space="preserve">The density matrix is a useful tool to ensure that developments with high density are situated in locations near frequent transport services because it enables greater mobility in the city. It would ensure that land gets developed to the most appropriate density standards, meeting the needs for housing in London and protecting the local area. </w:t>
      </w:r>
    </w:p>
    <w:p w14:paraId="6BB2A34D" w14:textId="77777777" w:rsidR="00131C18" w:rsidRDefault="004A33FB">
      <w:pPr>
        <w:pStyle w:val="normal0"/>
        <w:spacing w:after="160" w:line="252" w:lineRule="auto"/>
        <w:jc w:val="both"/>
        <w:rPr>
          <w:rFonts w:ascii="Nunito" w:eastAsia="Nunito" w:hAnsi="Nunito" w:cs="Nunito"/>
        </w:rPr>
      </w:pPr>
      <w:r>
        <w:rPr>
          <w:rFonts w:ascii="Nunito" w:eastAsia="Nunito" w:hAnsi="Nunito" w:cs="Nunito"/>
        </w:rPr>
        <w:t xml:space="preserve">Additionally, if the density matrix is enforced by all boroughs, it could ensure a more controlled development of housing in London (see section on capping density). However, if the density matrix is to be brought back, it should include a more complex set of requirements beyond transport. </w:t>
      </w:r>
    </w:p>
    <w:p w14:paraId="3F2FB496" w14:textId="77777777" w:rsidR="00131C18" w:rsidRDefault="004A33FB">
      <w:pPr>
        <w:pStyle w:val="normal0"/>
        <w:spacing w:after="160" w:line="252" w:lineRule="auto"/>
        <w:jc w:val="both"/>
        <w:rPr>
          <w:rFonts w:ascii="Nunito" w:eastAsia="Nunito" w:hAnsi="Nunito" w:cs="Nunito"/>
        </w:rPr>
      </w:pPr>
      <w:r>
        <w:rPr>
          <w:rFonts w:ascii="Nunito" w:eastAsia="Nunito" w:hAnsi="Nunito" w:cs="Nunito"/>
        </w:rPr>
        <w:t xml:space="preserve">There is too much emphasis placed on access to public transport within the density matrix, which brings the danger to forget about the ‘walkable city’ concept. An idea that people can satisfy their daily needs of work, shopping and recreation within walking distance and only have to rely on mechanised transport for more occasional needs. </w:t>
      </w:r>
    </w:p>
    <w:p w14:paraId="242FC2D3" w14:textId="41B36099" w:rsidR="00131C18" w:rsidRDefault="004A33FB">
      <w:pPr>
        <w:pStyle w:val="normal0"/>
        <w:spacing w:after="160" w:line="252" w:lineRule="auto"/>
        <w:jc w:val="both"/>
        <w:rPr>
          <w:rFonts w:ascii="Nunito" w:eastAsia="Nunito" w:hAnsi="Nunito" w:cs="Nunito"/>
        </w:rPr>
      </w:pPr>
      <w:r>
        <w:rPr>
          <w:rFonts w:ascii="Nunito" w:eastAsia="Nunito" w:hAnsi="Nunito" w:cs="Nunito"/>
        </w:rPr>
        <w:t>Just Space in its Community-led London Plan, 2016 (Quality of New Homes Policy E, p 32) proposes: “A new more sophisticated density matrix that combines housing, social and community infrastructure should be developed. This will take into account household income, financial accessibility to transport, proximity of accessible (both in a physical and financial sense) sport and leisure, community, youth and safe play facilities, levels of overcrowding and preservation of local character.”</w:t>
      </w:r>
    </w:p>
    <w:p w14:paraId="0AE919A7" w14:textId="198DB56F" w:rsidR="00131C18" w:rsidRPr="004A33FB" w:rsidRDefault="004A33FB" w:rsidP="004A33FB">
      <w:pPr>
        <w:pStyle w:val="Heading2"/>
        <w:spacing w:before="120" w:after="0" w:line="252" w:lineRule="auto"/>
        <w:jc w:val="both"/>
        <w:rPr>
          <w:rFonts w:ascii="Nunito" w:eastAsia="Nunito" w:hAnsi="Nunito" w:cs="Nunito"/>
          <w:b/>
          <w:sz w:val="24"/>
          <w:szCs w:val="24"/>
          <w:u w:val="single"/>
        </w:rPr>
      </w:pPr>
      <w:r>
        <w:rPr>
          <w:rFonts w:ascii="Nunito" w:eastAsia="Nunito" w:hAnsi="Nunito" w:cs="Nunito"/>
          <w:b/>
          <w:sz w:val="24"/>
          <w:szCs w:val="24"/>
          <w:u w:val="single"/>
        </w:rPr>
        <w:t>2.Capping maximum density</w:t>
      </w:r>
    </w:p>
    <w:p w14:paraId="2B89C6C1" w14:textId="6C7633B8" w:rsidR="00131C18" w:rsidRDefault="004A33FB">
      <w:pPr>
        <w:pStyle w:val="normal0"/>
        <w:spacing w:after="160" w:line="252" w:lineRule="auto"/>
        <w:jc w:val="both"/>
        <w:rPr>
          <w:rFonts w:ascii="Nunito" w:eastAsia="Nunito" w:hAnsi="Nunito" w:cs="Nunito"/>
        </w:rPr>
      </w:pPr>
      <w:r>
        <w:rPr>
          <w:rFonts w:ascii="Nunito" w:eastAsia="Nunito" w:hAnsi="Nunito" w:cs="Nunito"/>
        </w:rPr>
        <w:t xml:space="preserve">The density matrix, despite being theoretically a very useful tool, was barely followed by developers as they were allowed to negotiate with boroughs and/or the GLA. The majority of residential approvals were outside the range of the density matrix, and the greatest proportion, </w:t>
      </w:r>
      <w:r>
        <w:rPr>
          <w:rFonts w:ascii="Nunito" w:eastAsia="Nunito" w:hAnsi="Nunito" w:cs="Nunito"/>
          <w:b/>
        </w:rPr>
        <w:t>above the range</w:t>
      </w:r>
      <w:r>
        <w:rPr>
          <w:rFonts w:ascii="Nunito" w:eastAsia="Nunito" w:hAnsi="Nunito" w:cs="Nunito"/>
        </w:rPr>
        <w:t xml:space="preserve">. The LP Draft 2017 says the “the higher density of a development, the greater the level of scrutiny that is required of its design, particularly the qualitative aspects of the development design” (p. 118) but there is no capping of density. </w:t>
      </w:r>
    </w:p>
    <w:p w14:paraId="5F9A9E99" w14:textId="77777777" w:rsidR="00131C18" w:rsidRDefault="004A33FB">
      <w:pPr>
        <w:pStyle w:val="normal0"/>
        <w:spacing w:after="160" w:line="252" w:lineRule="auto"/>
        <w:jc w:val="both"/>
        <w:rPr>
          <w:rFonts w:ascii="Nunito" w:eastAsia="Nunito" w:hAnsi="Nunito" w:cs="Nunito"/>
        </w:rPr>
      </w:pPr>
      <w:r>
        <w:rPr>
          <w:noProof/>
          <w:lang w:val="en-US"/>
        </w:rPr>
        <w:drawing>
          <wp:anchor distT="0" distB="0" distL="114300" distR="114300" simplePos="0" relativeHeight="251659264" behindDoc="0" locked="0" layoutInCell="1" hidden="0" allowOverlap="1" wp14:anchorId="6B8636EC" wp14:editId="16F5DCC5">
            <wp:simplePos x="0" y="0"/>
            <wp:positionH relativeFrom="margin">
              <wp:posOffset>1019175</wp:posOffset>
            </wp:positionH>
            <wp:positionV relativeFrom="paragraph">
              <wp:posOffset>114300</wp:posOffset>
            </wp:positionV>
            <wp:extent cx="3568700" cy="1830070"/>
            <wp:effectExtent l="0" t="0" r="0" b="0"/>
            <wp:wrapSquare wrapText="bothSides" distT="0" distB="0" distL="114300" distR="11430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l="9503" t="19339" r="52737" b="46231"/>
                    <a:stretch>
                      <a:fillRect/>
                    </a:stretch>
                  </pic:blipFill>
                  <pic:spPr>
                    <a:xfrm>
                      <a:off x="0" y="0"/>
                      <a:ext cx="3568700" cy="1830070"/>
                    </a:xfrm>
                    <a:prstGeom prst="rect">
                      <a:avLst/>
                    </a:prstGeom>
                    <a:ln/>
                  </pic:spPr>
                </pic:pic>
              </a:graphicData>
            </a:graphic>
          </wp:anchor>
        </w:drawing>
      </w:r>
    </w:p>
    <w:p w14:paraId="49C32E2C" w14:textId="77777777" w:rsidR="00131C18" w:rsidRDefault="00131C18">
      <w:pPr>
        <w:pStyle w:val="normal0"/>
        <w:spacing w:after="160" w:line="252" w:lineRule="auto"/>
        <w:jc w:val="both"/>
        <w:rPr>
          <w:rFonts w:ascii="Nunito" w:eastAsia="Nunito" w:hAnsi="Nunito" w:cs="Nunito"/>
        </w:rPr>
      </w:pPr>
    </w:p>
    <w:p w14:paraId="5FCF189D" w14:textId="6035A7F2" w:rsidR="00131C18" w:rsidRDefault="00131C18">
      <w:pPr>
        <w:pStyle w:val="normal0"/>
        <w:spacing w:after="160" w:line="252" w:lineRule="auto"/>
        <w:jc w:val="both"/>
        <w:rPr>
          <w:rFonts w:ascii="Nunito" w:eastAsia="Nunito" w:hAnsi="Nunito" w:cs="Nunito"/>
        </w:rPr>
      </w:pPr>
    </w:p>
    <w:p w14:paraId="26F01594" w14:textId="0578CA2E" w:rsidR="00131C18" w:rsidRDefault="00FD45DA">
      <w:pPr>
        <w:pStyle w:val="normal0"/>
        <w:spacing w:after="160" w:line="252" w:lineRule="auto"/>
        <w:jc w:val="both"/>
        <w:rPr>
          <w:rFonts w:ascii="Nunito" w:eastAsia="Nunito" w:hAnsi="Nunito" w:cs="Nunito"/>
        </w:rPr>
      </w:pPr>
      <w:r>
        <w:rPr>
          <w:rFonts w:ascii="Nunito" w:eastAsia="Nunito" w:hAnsi="Nunito" w:cs="Nunito"/>
          <w:noProof/>
          <w:lang w:val="en-US"/>
        </w:rPr>
        <mc:AlternateContent>
          <mc:Choice Requires="wps">
            <w:drawing>
              <wp:anchor distT="0" distB="0" distL="114300" distR="114300" simplePos="0" relativeHeight="251660288" behindDoc="0" locked="0" layoutInCell="1" allowOverlap="1" wp14:anchorId="2673033D" wp14:editId="05F10355">
                <wp:simplePos x="0" y="0"/>
                <wp:positionH relativeFrom="column">
                  <wp:posOffset>4914900</wp:posOffset>
                </wp:positionH>
                <wp:positionV relativeFrom="paragraph">
                  <wp:posOffset>133350</wp:posOffset>
                </wp:positionV>
                <wp:extent cx="1377315" cy="9144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377315"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890BE7C" w14:textId="77777777" w:rsidR="00FD45DA" w:rsidRDefault="00FD45DA" w:rsidP="00FD45DA">
                            <w:pPr>
                              <w:pStyle w:val="normal0"/>
                              <w:spacing w:line="240" w:lineRule="auto"/>
                              <w:jc w:val="center"/>
                              <w:textDirection w:val="btLr"/>
                            </w:pPr>
                            <w:r>
                              <w:rPr>
                                <w:rFonts w:ascii="Nunito" w:eastAsia="Nunito" w:hAnsi="Nunito" w:cs="Nunito"/>
                                <w:sz w:val="16"/>
                              </w:rPr>
                              <w:t xml:space="preserve">Source: London Plan Annual Monitoring Report 2015/2016, p. 20. </w:t>
                            </w:r>
                          </w:p>
                          <w:p w14:paraId="16CF688C" w14:textId="77777777" w:rsidR="00FD45DA" w:rsidRDefault="00FD45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left:0;text-align:left;margin-left:387pt;margin-top:10.5pt;width:108.45pt;height:1in;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" filled="f" stroked="f">
                <v:textbox>
                  <w:txbxContent>
                    <w:p w14:paraId="1890BE7C" w14:textId="77777777" w:rsidR="00FD45DA" w:rsidRDefault="00FD45DA" w:rsidP="00FD45DA">
                      <w:pPr>
                        <w:pStyle w:val="normal0"/>
                        <w:spacing w:line="240" w:lineRule="auto"/>
                        <w:jc w:val="center"/>
                        <w:textDirection w:val="btLr"/>
                      </w:pPr>
                      <w:r>
                        <w:rPr>
                          <w:rFonts w:ascii="Nunito" w:eastAsia="Nunito" w:hAnsi="Nunito" w:cs="Nunito"/>
                          <w:sz w:val="16"/>
                        </w:rPr>
                        <w:t xml:space="preserve">Source: London Plan Annual Monitoring Report 2015/2016, p. 20. </w:t>
                      </w:r>
                    </w:p>
                    <w:p w14:paraId="16CF688C" w14:textId="77777777" w:rsidR="00FD45DA" w:rsidRDefault="00FD45DA"/>
                  </w:txbxContent>
                </v:textbox>
                <w10:wrap type="square"/>
              </v:shape>
            </w:pict>
          </mc:Fallback>
        </mc:AlternateContent>
      </w:r>
    </w:p>
    <w:p w14:paraId="6378A0BC" w14:textId="77777777" w:rsidR="00131C18" w:rsidRDefault="00131C18">
      <w:pPr>
        <w:pStyle w:val="normal0"/>
        <w:spacing w:after="160" w:line="252" w:lineRule="auto"/>
        <w:jc w:val="both"/>
        <w:rPr>
          <w:rFonts w:ascii="Nunito" w:eastAsia="Nunito" w:hAnsi="Nunito" w:cs="Nunito"/>
        </w:rPr>
      </w:pPr>
    </w:p>
    <w:p w14:paraId="25BB4190" w14:textId="77777777" w:rsidR="00131C18" w:rsidRDefault="00131C18">
      <w:pPr>
        <w:pStyle w:val="normal0"/>
        <w:spacing w:after="160" w:line="252" w:lineRule="auto"/>
        <w:jc w:val="both"/>
        <w:rPr>
          <w:rFonts w:ascii="Nunito" w:eastAsia="Nunito" w:hAnsi="Nunito" w:cs="Nunito"/>
        </w:rPr>
      </w:pPr>
    </w:p>
    <w:p w14:paraId="1293FC80" w14:textId="77777777" w:rsidR="00131C18" w:rsidRDefault="00131C18">
      <w:pPr>
        <w:pStyle w:val="normal0"/>
        <w:spacing w:after="160" w:line="252" w:lineRule="auto"/>
        <w:jc w:val="both"/>
        <w:rPr>
          <w:rFonts w:ascii="Nunito" w:eastAsia="Nunito" w:hAnsi="Nunito" w:cs="Nunito"/>
        </w:rPr>
      </w:pPr>
    </w:p>
    <w:p w14:paraId="7C848D58" w14:textId="77777777" w:rsidR="00FD45DA" w:rsidRDefault="00FD45DA">
      <w:pPr>
        <w:pStyle w:val="normal0"/>
        <w:spacing w:after="160" w:line="252" w:lineRule="auto"/>
        <w:jc w:val="both"/>
        <w:rPr>
          <w:rFonts w:ascii="Nunito" w:eastAsia="Nunito" w:hAnsi="Nunito" w:cs="Nunito"/>
        </w:rPr>
      </w:pPr>
    </w:p>
    <w:p w14:paraId="2E7DDCF3" w14:textId="5C248261" w:rsidR="0064408C" w:rsidRDefault="004A33FB">
      <w:pPr>
        <w:pStyle w:val="normal0"/>
        <w:spacing w:after="160" w:line="252" w:lineRule="auto"/>
        <w:jc w:val="both"/>
        <w:rPr>
          <w:rFonts w:ascii="Nunito" w:eastAsia="Nunito" w:hAnsi="Nunito" w:cs="Nunito"/>
        </w:rPr>
      </w:pPr>
      <w:r>
        <w:rPr>
          <w:rFonts w:ascii="Nunito" w:eastAsia="Nunito" w:hAnsi="Nunito" w:cs="Nunito"/>
        </w:rPr>
        <w:t xml:space="preserve">This is an issue of concern for various reasons, including fears of overcrowding, but most importantly because it further allows the uncontrolled increase in land </w:t>
      </w:r>
      <w:r w:rsidR="0064408C">
        <w:rPr>
          <w:rFonts w:ascii="Nunito" w:eastAsia="Nunito" w:hAnsi="Nunito" w:cs="Nunito"/>
        </w:rPr>
        <w:t>prices.</w:t>
      </w:r>
    </w:p>
    <w:p w14:paraId="0CA35EE9" w14:textId="2D922F12" w:rsidR="00131C18" w:rsidRDefault="004A33FB">
      <w:pPr>
        <w:pStyle w:val="normal0"/>
        <w:spacing w:after="160" w:line="252" w:lineRule="auto"/>
        <w:jc w:val="both"/>
        <w:rPr>
          <w:rFonts w:ascii="Nunito" w:eastAsia="Nunito" w:hAnsi="Nunito" w:cs="Nunito"/>
          <w:color w:val="0563C1"/>
          <w:u w:val="single"/>
        </w:rPr>
      </w:pPr>
      <w:r>
        <w:rPr>
          <w:rFonts w:ascii="Nunito" w:eastAsia="Nunito" w:hAnsi="Nunito" w:cs="Nunito"/>
        </w:rPr>
        <w:t xml:space="preserve">This occurs because there is no capping on maximum density and developers have no limit on the land they can build, land value is not determined and, so, can allow the upward spiralling of land prices (find more detailed information here: </w:t>
      </w:r>
      <w:hyperlink r:id="rId10">
        <w:r>
          <w:rPr>
            <w:rFonts w:ascii="Nunito" w:eastAsia="Nunito" w:hAnsi="Nunito" w:cs="Nunito"/>
            <w:color w:val="0563C1"/>
            <w:u w:val="single"/>
          </w:rPr>
          <w:t>https://michaeledwards.org.uk/</w:t>
        </w:r>
      </w:hyperlink>
      <w:r>
        <w:rPr>
          <w:rFonts w:ascii="Nunito" w:eastAsia="Nunito" w:hAnsi="Nunito" w:cs="Nunito"/>
          <w:color w:val="0563C1"/>
          <w:u w:val="single"/>
        </w:rPr>
        <w:t xml:space="preserve">) </w:t>
      </w:r>
    </w:p>
    <w:p w14:paraId="727CBDF9" w14:textId="1D170419" w:rsidR="00131C18" w:rsidRDefault="004A33FB">
      <w:pPr>
        <w:pStyle w:val="normal0"/>
        <w:spacing w:after="160" w:line="252" w:lineRule="auto"/>
        <w:jc w:val="both"/>
        <w:rPr>
          <w:rFonts w:ascii="Nunito" w:eastAsia="Nunito" w:hAnsi="Nunito" w:cs="Nunito"/>
        </w:rPr>
      </w:pPr>
      <w:r>
        <w:rPr>
          <w:rFonts w:ascii="Nunito" w:eastAsia="Nunito" w:hAnsi="Nunito" w:cs="Nunito"/>
        </w:rPr>
        <w:t xml:space="preserve">Therefore, it is crucial to ensure that there is a cap on the maximum density of a development, that gets enforced by the authorities when allowing planning permissions. It would bring closer to an end the abuse of developers pushing the inflation of land value.  </w:t>
      </w:r>
    </w:p>
    <w:p w14:paraId="7228812D" w14:textId="77777777" w:rsidR="00131C18" w:rsidRDefault="004A33FB">
      <w:pPr>
        <w:pStyle w:val="normal0"/>
        <w:spacing w:after="160" w:line="252" w:lineRule="auto"/>
        <w:rPr>
          <w:rFonts w:ascii="Nunito" w:eastAsia="Nunito" w:hAnsi="Nunito" w:cs="Nunito"/>
          <w:sz w:val="20"/>
          <w:szCs w:val="20"/>
        </w:rPr>
      </w:pPr>
      <w:r>
        <w:rPr>
          <w:rFonts w:ascii="Nunito" w:eastAsia="Nunito" w:hAnsi="Nunito" w:cs="Nunito"/>
          <w:sz w:val="20"/>
          <w:szCs w:val="20"/>
        </w:rPr>
        <w:t xml:space="preserve">The Draft LONDON PLAN 2017, Topic paper: Housing density - </w:t>
      </w:r>
      <w:hyperlink r:id="rId11">
        <w:r>
          <w:rPr>
            <w:rFonts w:ascii="Nunito" w:eastAsia="Nunito" w:hAnsi="Nunito" w:cs="Nunito"/>
            <w:color w:val="0563C1"/>
            <w:sz w:val="20"/>
            <w:szCs w:val="20"/>
            <w:u w:val="single"/>
          </w:rPr>
          <w:t>https://www.london.gov.uk/sites/default/files/london_plan_topic_paper_on_density_policy_and_details_of_research_-_2017_final.pdf</w:t>
        </w:r>
      </w:hyperlink>
      <w:r>
        <w:rPr>
          <w:rFonts w:ascii="Nunito" w:eastAsia="Nunito" w:hAnsi="Nunito" w:cs="Nunito"/>
          <w:sz w:val="20"/>
          <w:szCs w:val="20"/>
        </w:rPr>
        <w:t xml:space="preserve"> </w:t>
      </w:r>
      <w:r>
        <w:rPr>
          <w:rFonts w:ascii="Nunito" w:eastAsia="Nunito" w:hAnsi="Nunito" w:cs="Nunito"/>
          <w:sz w:val="20"/>
          <w:szCs w:val="20"/>
        </w:rPr>
        <w:br/>
        <w:t xml:space="preserve">London First 2015, Redefining Density - </w:t>
      </w:r>
      <w:hyperlink r:id="rId12">
        <w:r>
          <w:rPr>
            <w:rFonts w:ascii="Nunito" w:eastAsia="Nunito" w:hAnsi="Nunito" w:cs="Nunito"/>
            <w:color w:val="0563C1"/>
            <w:sz w:val="20"/>
            <w:szCs w:val="20"/>
            <w:u w:val="single"/>
          </w:rPr>
          <w:t>http://www.londonfirst.co.uk/wp-content/uploads/2015/09/Redefining-Density-0915.pdf</w:t>
        </w:r>
      </w:hyperlink>
    </w:p>
    <w:p w14:paraId="16F09795" w14:textId="77777777" w:rsidR="00131C18" w:rsidRDefault="00131C18">
      <w:pPr>
        <w:pStyle w:val="normal0"/>
        <w:jc w:val="both"/>
        <w:rPr>
          <w:rFonts w:ascii="Nunito" w:eastAsia="Nunito" w:hAnsi="Nunito" w:cs="Nunito"/>
          <w:sz w:val="24"/>
          <w:szCs w:val="24"/>
        </w:rPr>
      </w:pPr>
    </w:p>
    <w:p w14:paraId="26F3E8E7" w14:textId="4161EBF6" w:rsidR="00131C18" w:rsidRPr="00FD45DA" w:rsidRDefault="00FD45DA">
      <w:pPr>
        <w:pStyle w:val="normal0"/>
        <w:jc w:val="both"/>
        <w:rPr>
          <w:rFonts w:ascii="Nunito" w:eastAsia="Nunito" w:hAnsi="Nunito" w:cs="Nunito"/>
          <w:sz w:val="40"/>
          <w:szCs w:val="40"/>
        </w:rPr>
      </w:pPr>
      <w:r>
        <w:rPr>
          <w:rFonts w:ascii="Nunito" w:eastAsia="Nunito" w:hAnsi="Nunito" w:cs="Nunito"/>
          <w:b/>
          <w:sz w:val="40"/>
          <w:szCs w:val="40"/>
        </w:rPr>
        <w:t xml:space="preserve">2: </w:t>
      </w:r>
      <w:r w:rsidR="004A33FB" w:rsidRPr="00FD45DA">
        <w:rPr>
          <w:rFonts w:ascii="Nunito" w:eastAsia="Nunito" w:hAnsi="Nunito" w:cs="Nunito"/>
          <w:b/>
          <w:sz w:val="40"/>
          <w:szCs w:val="40"/>
        </w:rPr>
        <w:t>Strategic Housing Land Availability Assessment</w:t>
      </w:r>
      <w:r>
        <w:rPr>
          <w:rFonts w:ascii="Nunito" w:eastAsia="Nunito" w:hAnsi="Nunito" w:cs="Nunito"/>
          <w:b/>
          <w:sz w:val="40"/>
          <w:szCs w:val="40"/>
        </w:rPr>
        <w:t>(</w:t>
      </w:r>
      <w:r w:rsidRPr="00FD45DA">
        <w:rPr>
          <w:rFonts w:ascii="Nunito" w:eastAsia="Nunito" w:hAnsi="Nunito" w:cs="Nunito"/>
          <w:b/>
          <w:sz w:val="40"/>
          <w:szCs w:val="40"/>
        </w:rPr>
        <w:t>SHLAA</w:t>
      </w:r>
      <w:r>
        <w:rPr>
          <w:rFonts w:ascii="Nunito" w:eastAsia="Nunito" w:hAnsi="Nunito" w:cs="Nunito"/>
          <w:b/>
          <w:sz w:val="40"/>
          <w:szCs w:val="40"/>
        </w:rPr>
        <w:t>)</w:t>
      </w:r>
    </w:p>
    <w:p w14:paraId="415DA664" w14:textId="77777777" w:rsidR="00131C18" w:rsidRDefault="004A33FB">
      <w:pPr>
        <w:pStyle w:val="normal0"/>
        <w:jc w:val="both"/>
        <w:rPr>
          <w:rFonts w:ascii="Nunito" w:eastAsia="Nunito" w:hAnsi="Nunito" w:cs="Nunito"/>
          <w:b/>
          <w:sz w:val="26"/>
          <w:szCs w:val="26"/>
          <w:u w:val="single"/>
        </w:rPr>
      </w:pPr>
      <w:r>
        <w:rPr>
          <w:rFonts w:ascii="Nunito" w:eastAsia="Nunito" w:hAnsi="Nunito" w:cs="Nunito"/>
          <w:b/>
          <w:sz w:val="26"/>
          <w:szCs w:val="26"/>
          <w:u w:val="single"/>
        </w:rPr>
        <w:t>What is the SHLAA?</w:t>
      </w:r>
    </w:p>
    <w:p w14:paraId="40C511BC" w14:textId="77777777" w:rsidR="00131C18" w:rsidRDefault="004A33FB">
      <w:pPr>
        <w:pStyle w:val="normal0"/>
        <w:spacing w:line="259" w:lineRule="auto"/>
        <w:rPr>
          <w:rFonts w:ascii="Nunito" w:eastAsia="Nunito" w:hAnsi="Nunito" w:cs="Nunito"/>
        </w:rPr>
      </w:pPr>
      <w:r>
        <w:rPr>
          <w:rFonts w:ascii="Nunito" w:eastAsia="Nunito" w:hAnsi="Nunito" w:cs="Nunito"/>
        </w:rPr>
        <w:t>The SHLAA provides a means to identify the amount of housing capacity that can be brought forward during the timescale of the new London Plan to address the capital’s overall housing need. It is a way to assess the extent to which London has the land capacity to meet its housing need, taking into account the range of economic, environmental and social policy objectives and the various planning, environmental and deliverability constraints which may influence the potential for identified sites to come forwards for housing.</w:t>
      </w:r>
    </w:p>
    <w:p w14:paraId="6346371B" w14:textId="77777777" w:rsidR="00131C18" w:rsidRDefault="00131C18">
      <w:pPr>
        <w:pStyle w:val="normal0"/>
        <w:spacing w:line="259" w:lineRule="auto"/>
        <w:rPr>
          <w:rFonts w:ascii="Nunito" w:eastAsia="Nunito" w:hAnsi="Nunito" w:cs="Nunito"/>
        </w:rPr>
      </w:pPr>
    </w:p>
    <w:p w14:paraId="17BCF089" w14:textId="77777777" w:rsidR="00131C18" w:rsidRDefault="004A33FB">
      <w:pPr>
        <w:pStyle w:val="normal0"/>
        <w:jc w:val="both"/>
        <w:rPr>
          <w:rFonts w:ascii="Nunito" w:eastAsia="Nunito" w:hAnsi="Nunito" w:cs="Nunito"/>
        </w:rPr>
      </w:pPr>
      <w:r>
        <w:rPr>
          <w:rFonts w:ascii="Nunito" w:eastAsia="Nunito" w:hAnsi="Nunito" w:cs="Nunito"/>
          <w:b/>
          <w:sz w:val="26"/>
          <w:szCs w:val="26"/>
          <w:u w:val="single"/>
        </w:rPr>
        <w:t>Application of SHLAA:</w:t>
      </w:r>
    </w:p>
    <w:p w14:paraId="4664768F" w14:textId="77777777" w:rsidR="00131C18" w:rsidRDefault="004A33FB">
      <w:pPr>
        <w:pStyle w:val="normal0"/>
        <w:jc w:val="both"/>
        <w:rPr>
          <w:rFonts w:ascii="Nunito" w:eastAsia="Nunito" w:hAnsi="Nunito" w:cs="Nunito"/>
        </w:rPr>
      </w:pPr>
      <w:r>
        <w:rPr>
          <w:rFonts w:ascii="Nunito" w:eastAsia="Nunito" w:hAnsi="Nunito" w:cs="Nunito"/>
        </w:rPr>
        <w:t>SHLAA Large sites (over 0.25 ha) brought forward by:</w:t>
      </w:r>
    </w:p>
    <w:p w14:paraId="17252E08" w14:textId="77777777" w:rsidR="00131C18" w:rsidRDefault="004A33FB">
      <w:pPr>
        <w:pStyle w:val="normal0"/>
        <w:numPr>
          <w:ilvl w:val="0"/>
          <w:numId w:val="4"/>
        </w:numPr>
        <w:spacing w:line="259" w:lineRule="auto"/>
        <w:contextualSpacing/>
        <w:rPr>
          <w:rFonts w:ascii="Calibri" w:eastAsia="Calibri" w:hAnsi="Calibri" w:cs="Calibri"/>
        </w:rPr>
      </w:pPr>
      <w:r>
        <w:rPr>
          <w:rFonts w:ascii="Nunito" w:eastAsia="Nunito" w:hAnsi="Nunito" w:cs="Nunito"/>
          <w:u w:val="single"/>
        </w:rPr>
        <w:t>Approvals</w:t>
      </w:r>
      <w:r>
        <w:rPr>
          <w:rFonts w:ascii="Nunito" w:eastAsia="Nunito" w:hAnsi="Nunito" w:cs="Nunito"/>
        </w:rPr>
        <w:t xml:space="preserve"> – Sites which already have PP listed on London Development Database. Local authorities required to review and estimate </w:t>
      </w:r>
      <w:r>
        <w:rPr>
          <w:rFonts w:ascii="Nunito" w:eastAsia="Nunito" w:hAnsi="Nunito" w:cs="Nunito"/>
          <w:b/>
        </w:rPr>
        <w:t>anticipated delivery timescale</w:t>
      </w:r>
      <w:r>
        <w:rPr>
          <w:rFonts w:ascii="Nunito" w:eastAsia="Nunito" w:hAnsi="Nunito" w:cs="Nunito"/>
        </w:rPr>
        <w:t>.</w:t>
      </w:r>
    </w:p>
    <w:p w14:paraId="0863B9D5" w14:textId="77777777" w:rsidR="00131C18" w:rsidRDefault="004A33FB">
      <w:pPr>
        <w:pStyle w:val="normal0"/>
        <w:numPr>
          <w:ilvl w:val="0"/>
          <w:numId w:val="4"/>
        </w:numPr>
        <w:spacing w:line="259" w:lineRule="auto"/>
        <w:contextualSpacing/>
        <w:rPr>
          <w:rFonts w:ascii="Calibri" w:eastAsia="Calibri" w:hAnsi="Calibri" w:cs="Calibri"/>
        </w:rPr>
      </w:pPr>
      <w:r>
        <w:rPr>
          <w:rFonts w:ascii="Nunito" w:eastAsia="Nunito" w:hAnsi="Nunito" w:cs="Nunito"/>
          <w:u w:val="single"/>
        </w:rPr>
        <w:t>Allocations</w:t>
      </w:r>
      <w:r>
        <w:rPr>
          <w:rFonts w:ascii="Nunito" w:eastAsia="Nunito" w:hAnsi="Nunito" w:cs="Nunito"/>
        </w:rPr>
        <w:t xml:space="preserve"> – Sites already recognised in development plans as suitable for housing. Requiring local planning authorities to review and amend expected density, land use mix and </w:t>
      </w:r>
      <w:r>
        <w:rPr>
          <w:rFonts w:ascii="Nunito" w:eastAsia="Nunito" w:hAnsi="Nunito" w:cs="Nunito"/>
          <w:b/>
        </w:rPr>
        <w:t>phasing assumptions</w:t>
      </w:r>
      <w:r>
        <w:rPr>
          <w:rFonts w:ascii="Nunito" w:eastAsia="Nunito" w:hAnsi="Nunito" w:cs="Nunito"/>
        </w:rPr>
        <w:t>.</w:t>
      </w:r>
    </w:p>
    <w:p w14:paraId="74DCDA72" w14:textId="17482F51" w:rsidR="00131C18" w:rsidRDefault="004A33FB">
      <w:pPr>
        <w:pStyle w:val="normal0"/>
        <w:numPr>
          <w:ilvl w:val="0"/>
          <w:numId w:val="4"/>
        </w:numPr>
        <w:spacing w:line="259" w:lineRule="auto"/>
        <w:contextualSpacing/>
        <w:rPr>
          <w:rFonts w:ascii="Nunito" w:eastAsia="Nunito" w:hAnsi="Nunito" w:cs="Nunito"/>
        </w:rPr>
      </w:pPr>
      <w:r>
        <w:rPr>
          <w:rFonts w:ascii="Nunito" w:eastAsia="Nunito" w:hAnsi="Nunito" w:cs="Nunito"/>
          <w:u w:val="single"/>
        </w:rPr>
        <w:t>Other large sites</w:t>
      </w:r>
      <w:r>
        <w:rPr>
          <w:rFonts w:ascii="Nunito" w:eastAsia="Nunito" w:hAnsi="Nunito" w:cs="Nunito"/>
        </w:rPr>
        <w:t xml:space="preserve"> - Using a ‘constraints model</w:t>
      </w:r>
      <w:r w:rsidR="00EF0FC9">
        <w:rPr>
          <w:rFonts w:ascii="Nunito" w:eastAsia="Nunito" w:hAnsi="Nunito" w:cs="Nunito"/>
        </w:rPr>
        <w:t>’. This establishes probability-</w:t>
      </w:r>
      <w:r>
        <w:rPr>
          <w:rFonts w:ascii="Nunito" w:eastAsia="Nunito" w:hAnsi="Nunito" w:cs="Nunito"/>
        </w:rPr>
        <w:t>based housing capacity estimates for each site based on a number of variables and takes into account likelihood of site coming forward.</w:t>
      </w:r>
    </w:p>
    <w:p w14:paraId="57B53ED9" w14:textId="77777777" w:rsidR="00131C18" w:rsidRDefault="00131C18">
      <w:pPr>
        <w:pStyle w:val="normal0"/>
        <w:spacing w:line="259" w:lineRule="auto"/>
        <w:rPr>
          <w:rFonts w:ascii="Nunito" w:eastAsia="Nunito" w:hAnsi="Nunito" w:cs="Nunito"/>
        </w:rPr>
      </w:pPr>
    </w:p>
    <w:p w14:paraId="27C2C877" w14:textId="474BE388" w:rsidR="00131C18" w:rsidRDefault="004A33FB" w:rsidP="00EF0FC9">
      <w:pPr>
        <w:pStyle w:val="normal0"/>
        <w:spacing w:line="259" w:lineRule="auto"/>
        <w:rPr>
          <w:rFonts w:ascii="Nunito" w:eastAsia="Nunito" w:hAnsi="Nunito" w:cs="Nunito"/>
        </w:rPr>
      </w:pPr>
      <w:r>
        <w:rPr>
          <w:rFonts w:ascii="Nunito" w:eastAsia="Nunito" w:hAnsi="Nunito" w:cs="Nunito"/>
        </w:rPr>
        <w:t>The SHLAA does not determine whether a particular site should be allocated for development as this is the role of the development plan document, for example, the Local Plan, site allocations document or an area action plan.</w:t>
      </w:r>
    </w:p>
    <w:p w14:paraId="4564BF95" w14:textId="77777777" w:rsidR="00EF0FC9" w:rsidRPr="00EF0FC9" w:rsidRDefault="00EF0FC9" w:rsidP="00EF0FC9">
      <w:pPr>
        <w:pStyle w:val="normal0"/>
        <w:spacing w:line="259" w:lineRule="auto"/>
        <w:rPr>
          <w:rFonts w:ascii="Nunito" w:eastAsia="Nunito" w:hAnsi="Nunito" w:cs="Nunito"/>
        </w:rPr>
      </w:pPr>
    </w:p>
    <w:p w14:paraId="76913DBE" w14:textId="4516958A" w:rsidR="00131C18" w:rsidRDefault="004A33FB">
      <w:pPr>
        <w:pStyle w:val="normal0"/>
        <w:jc w:val="both"/>
        <w:rPr>
          <w:rFonts w:ascii="Calibri" w:eastAsia="Calibri" w:hAnsi="Calibri" w:cs="Calibri"/>
          <w:color w:val="2F5496"/>
          <w:sz w:val="32"/>
          <w:szCs w:val="32"/>
        </w:rPr>
      </w:pPr>
      <w:r>
        <w:rPr>
          <w:rFonts w:ascii="Nunito" w:eastAsia="Nunito" w:hAnsi="Nunito" w:cs="Nunito"/>
          <w:sz w:val="40"/>
          <w:szCs w:val="40"/>
        </w:rPr>
        <w:t>2.1. Density</w:t>
      </w:r>
      <w:r w:rsidR="00EF0FC9">
        <w:rPr>
          <w:rFonts w:ascii="Nunito" w:eastAsia="Nunito" w:hAnsi="Nunito" w:cs="Nunito"/>
          <w:sz w:val="40"/>
          <w:szCs w:val="40"/>
        </w:rPr>
        <w:t xml:space="preserve"> assumptions in the SHLAA</w:t>
      </w:r>
      <w:r>
        <w:rPr>
          <w:rFonts w:ascii="Nunito" w:eastAsia="Nunito" w:hAnsi="Nunito" w:cs="Nunito"/>
          <w:sz w:val="40"/>
          <w:szCs w:val="40"/>
        </w:rPr>
        <w:t xml:space="preserve"> </w:t>
      </w:r>
    </w:p>
    <w:p w14:paraId="3CFA8AEC" w14:textId="0E73A3E1" w:rsidR="00131C18" w:rsidRDefault="004A33FB">
      <w:pPr>
        <w:pStyle w:val="normal0"/>
        <w:spacing w:after="160" w:line="259" w:lineRule="auto"/>
        <w:rPr>
          <w:rFonts w:ascii="Nunito" w:eastAsia="Nunito" w:hAnsi="Nunito" w:cs="Nunito"/>
        </w:rPr>
      </w:pPr>
      <w:r>
        <w:rPr>
          <w:rFonts w:ascii="Nunito" w:eastAsia="Nunito" w:hAnsi="Nunito" w:cs="Nunito"/>
        </w:rPr>
        <w:t>Through the large sites assessment process (Figure 3.1, Page 58) there are 5 steps to establishing site capacity once</w:t>
      </w:r>
      <w:r w:rsidR="00EF0FC9">
        <w:rPr>
          <w:rFonts w:ascii="Nunito" w:eastAsia="Nunito" w:hAnsi="Nunito" w:cs="Nunito"/>
        </w:rPr>
        <w:t xml:space="preserve"> a</w:t>
      </w:r>
      <w:r>
        <w:rPr>
          <w:rFonts w:ascii="Nunito" w:eastAsia="Nunito" w:hAnsi="Nunito" w:cs="Nunito"/>
        </w:rPr>
        <w:t xml:space="preserve"> site has been uploaded to system: </w:t>
      </w:r>
    </w:p>
    <w:p w14:paraId="72B064F6" w14:textId="77777777" w:rsidR="00131C18" w:rsidRDefault="004A33FB">
      <w:pPr>
        <w:pStyle w:val="normal0"/>
        <w:numPr>
          <w:ilvl w:val="0"/>
          <w:numId w:val="1"/>
        </w:numPr>
        <w:spacing w:line="259" w:lineRule="auto"/>
        <w:contextualSpacing/>
        <w:rPr>
          <w:rFonts w:ascii="Nunito" w:eastAsia="Nunito" w:hAnsi="Nunito" w:cs="Nunito"/>
        </w:rPr>
      </w:pPr>
      <w:r>
        <w:rPr>
          <w:rFonts w:ascii="Nunito" w:eastAsia="Nunito" w:hAnsi="Nunito" w:cs="Nunito"/>
        </w:rPr>
        <w:lastRenderedPageBreak/>
        <w:t>Initial site status, probability and density established.</w:t>
      </w:r>
    </w:p>
    <w:p w14:paraId="741E1A6A" w14:textId="77777777" w:rsidR="00131C18" w:rsidRDefault="004A33FB">
      <w:pPr>
        <w:pStyle w:val="normal0"/>
        <w:numPr>
          <w:ilvl w:val="0"/>
          <w:numId w:val="1"/>
        </w:numPr>
        <w:spacing w:line="259" w:lineRule="auto"/>
        <w:contextualSpacing/>
        <w:rPr>
          <w:rFonts w:ascii="Nunito" w:eastAsia="Nunito" w:hAnsi="Nunito" w:cs="Nunito"/>
        </w:rPr>
      </w:pPr>
      <w:r>
        <w:rPr>
          <w:rFonts w:ascii="Nunito" w:eastAsia="Nunito" w:hAnsi="Nunito" w:cs="Nunito"/>
        </w:rPr>
        <w:t>Borough site assessment of: Site status, constraints, land use mix, density, probability, phasing.</w:t>
      </w:r>
    </w:p>
    <w:p w14:paraId="41E847D3" w14:textId="77777777" w:rsidR="00131C18" w:rsidRDefault="004A33FB">
      <w:pPr>
        <w:pStyle w:val="normal0"/>
        <w:numPr>
          <w:ilvl w:val="0"/>
          <w:numId w:val="1"/>
        </w:numPr>
        <w:spacing w:line="259" w:lineRule="auto"/>
        <w:contextualSpacing/>
        <w:rPr>
          <w:rFonts w:ascii="Nunito" w:eastAsia="Nunito" w:hAnsi="Nunito" w:cs="Nunito"/>
        </w:rPr>
      </w:pPr>
      <w:r>
        <w:rPr>
          <w:rFonts w:ascii="Nunito" w:eastAsia="Nunito" w:hAnsi="Nunito" w:cs="Nunito"/>
        </w:rPr>
        <w:t>GLA feedback and flagging up of ‘sites for discussion’</w:t>
      </w:r>
    </w:p>
    <w:p w14:paraId="0718321D" w14:textId="059A79E4" w:rsidR="00131C18" w:rsidRDefault="00EF0FC9">
      <w:pPr>
        <w:pStyle w:val="normal0"/>
        <w:numPr>
          <w:ilvl w:val="0"/>
          <w:numId w:val="1"/>
        </w:numPr>
        <w:spacing w:line="259" w:lineRule="auto"/>
        <w:contextualSpacing/>
        <w:rPr>
          <w:rFonts w:ascii="Nunito" w:eastAsia="Nunito" w:hAnsi="Nunito" w:cs="Nunito"/>
        </w:rPr>
      </w:pPr>
      <w:r>
        <w:rPr>
          <w:rFonts w:ascii="Nunito" w:eastAsia="Nunito" w:hAnsi="Nunito" w:cs="Nunito"/>
        </w:rPr>
        <w:t>Borough- GLA one-to-</w:t>
      </w:r>
      <w:r w:rsidR="004A33FB">
        <w:rPr>
          <w:rFonts w:ascii="Nunito" w:eastAsia="Nunito" w:hAnsi="Nunito" w:cs="Nunito"/>
        </w:rPr>
        <w:t>one</w:t>
      </w:r>
      <w:r>
        <w:rPr>
          <w:rFonts w:ascii="Nunito" w:eastAsia="Nunito" w:hAnsi="Nunito" w:cs="Nunito"/>
        </w:rPr>
        <w:t xml:space="preserve"> discussions</w:t>
      </w:r>
    </w:p>
    <w:p w14:paraId="46472873" w14:textId="77777777" w:rsidR="00131C18" w:rsidRDefault="004A33FB">
      <w:pPr>
        <w:pStyle w:val="normal0"/>
        <w:numPr>
          <w:ilvl w:val="0"/>
          <w:numId w:val="1"/>
        </w:numPr>
        <w:spacing w:line="259" w:lineRule="auto"/>
        <w:contextualSpacing/>
        <w:rPr>
          <w:rFonts w:ascii="Nunito" w:eastAsia="Nunito" w:hAnsi="Nunito" w:cs="Nunito"/>
        </w:rPr>
      </w:pPr>
      <w:r>
        <w:rPr>
          <w:rFonts w:ascii="Nunito" w:eastAsia="Nunito" w:hAnsi="Nunito" w:cs="Nunito"/>
        </w:rPr>
        <w:t xml:space="preserve">Final GLA consistency check and review of assessments, capacity findings and impacts on other policies/land use considerations. </w:t>
      </w:r>
    </w:p>
    <w:p w14:paraId="32E79A2C" w14:textId="77777777" w:rsidR="00131C18" w:rsidRDefault="00131C18">
      <w:pPr>
        <w:pStyle w:val="normal0"/>
        <w:spacing w:line="259" w:lineRule="auto"/>
        <w:rPr>
          <w:rFonts w:ascii="Nunito" w:eastAsia="Nunito" w:hAnsi="Nunito" w:cs="Nunito"/>
        </w:rPr>
      </w:pPr>
    </w:p>
    <w:p w14:paraId="7A124E04" w14:textId="77777777" w:rsidR="00131C18" w:rsidRDefault="004A33FB">
      <w:pPr>
        <w:pStyle w:val="normal0"/>
        <w:spacing w:line="259" w:lineRule="auto"/>
        <w:rPr>
          <w:rFonts w:ascii="Nunito" w:eastAsia="Nunito" w:hAnsi="Nunito" w:cs="Nunito"/>
        </w:rPr>
      </w:pPr>
      <w:r>
        <w:rPr>
          <w:rFonts w:ascii="Nunito" w:eastAsia="Nunito" w:hAnsi="Nunito" w:cs="Nunito"/>
        </w:rPr>
        <w:t xml:space="preserve">Default SHLAA system density estimates for allocated and potential large sites are mainly based on the 2016 London Plan Sustainable Residential Quality (SRQ) density matrix, which estimates top density range in town centres and applies higher assumptions in opportunity areas. It reflects the density trends in these locations and their strategic importance in terms of housing delivery in London  (Fig 2.18, pg 19). </w:t>
      </w:r>
    </w:p>
    <w:p w14:paraId="2B47ECF6" w14:textId="797490C3" w:rsidR="00131C18" w:rsidRDefault="004A33FB">
      <w:pPr>
        <w:pStyle w:val="normal0"/>
        <w:spacing w:line="259" w:lineRule="auto"/>
        <w:rPr>
          <w:rFonts w:ascii="Nunito" w:eastAsia="Nunito" w:hAnsi="Nunito" w:cs="Nunito"/>
        </w:rPr>
      </w:pPr>
      <w:r>
        <w:rPr>
          <w:rFonts w:ascii="Nunito" w:eastAsia="Nunito" w:hAnsi="Nunito" w:cs="Nunito"/>
        </w:rPr>
        <w:t xml:space="preserve">Note: Since the publishing of the SHLAA the SRQ Density Matrix has been replaced in the Draft London Plan meaning there </w:t>
      </w:r>
      <w:r w:rsidR="00EF0FC9">
        <w:rPr>
          <w:rFonts w:ascii="Nunito" w:eastAsia="Nunito" w:hAnsi="Nunito" w:cs="Nunito"/>
        </w:rPr>
        <w:t>would from</w:t>
      </w:r>
      <w:r>
        <w:rPr>
          <w:rFonts w:ascii="Nunito" w:eastAsia="Nunito" w:hAnsi="Nunito" w:cs="Nunito"/>
        </w:rPr>
        <w:t xml:space="preserve"> now</w:t>
      </w:r>
      <w:r w:rsidR="00EF0FC9">
        <w:rPr>
          <w:rFonts w:ascii="Nunito" w:eastAsia="Nunito" w:hAnsi="Nunito" w:cs="Nunito"/>
        </w:rPr>
        <w:t xml:space="preserve"> be</w:t>
      </w:r>
      <w:r>
        <w:rPr>
          <w:rFonts w:ascii="Nunito" w:eastAsia="Nunito" w:hAnsi="Nunito" w:cs="Nunito"/>
        </w:rPr>
        <w:t xml:space="preserve"> no suburban/urban/centra</w:t>
      </w:r>
      <w:r w:rsidR="00EF0FC9">
        <w:rPr>
          <w:rFonts w:ascii="Nunito" w:eastAsia="Nunito" w:hAnsi="Nunito" w:cs="Nunito"/>
        </w:rPr>
        <w:t>l classifications (See above on the matrix</w:t>
      </w:r>
      <w:r>
        <w:rPr>
          <w:rFonts w:ascii="Nunito" w:eastAsia="Nunito" w:hAnsi="Nunito" w:cs="Nunito"/>
        </w:rPr>
        <w:t>)</w:t>
      </w:r>
      <w:r w:rsidR="00EF0FC9">
        <w:rPr>
          <w:rFonts w:ascii="Nunito" w:eastAsia="Nunito" w:hAnsi="Nunito" w:cs="Nunito"/>
        </w:rPr>
        <w:t>.</w:t>
      </w:r>
    </w:p>
    <w:p w14:paraId="01B2BB97" w14:textId="77777777" w:rsidR="00131C18" w:rsidRDefault="00131C18">
      <w:pPr>
        <w:pStyle w:val="normal0"/>
        <w:spacing w:line="259" w:lineRule="auto"/>
        <w:rPr>
          <w:rFonts w:ascii="Nunito" w:eastAsia="Nunito" w:hAnsi="Nunito" w:cs="Nunito"/>
        </w:rPr>
      </w:pPr>
    </w:p>
    <w:p w14:paraId="40D34C79" w14:textId="07E2800E" w:rsidR="00131C18" w:rsidRDefault="004A33FB">
      <w:pPr>
        <w:pStyle w:val="normal0"/>
        <w:spacing w:line="259" w:lineRule="auto"/>
        <w:rPr>
          <w:rFonts w:ascii="Nunito" w:eastAsia="Nunito" w:hAnsi="Nunito" w:cs="Nunito"/>
        </w:rPr>
      </w:pPr>
      <w:r>
        <w:rPr>
          <w:rFonts w:ascii="Nunito" w:eastAsia="Nunito" w:hAnsi="Nunito" w:cs="Nunito"/>
        </w:rPr>
        <w:t>The SHLAA assessment process permits local planning authorities to edit density assumptions by increasing or decreasing the density estimate if there is a justification based on site-specific reasons (e.g. existence of design/planning brief, designated heritage asset, setting/local character or if the site could yield higher density development). Any changes will then need to be discussed and approved by the GLA.</w:t>
      </w:r>
    </w:p>
    <w:p w14:paraId="0529A147" w14:textId="77777777" w:rsidR="00131C18" w:rsidRDefault="00131C18">
      <w:pPr>
        <w:pStyle w:val="normal0"/>
        <w:spacing w:line="259" w:lineRule="auto"/>
        <w:rPr>
          <w:rFonts w:ascii="Nunito" w:eastAsia="Nunito" w:hAnsi="Nunito" w:cs="Nunito"/>
        </w:rPr>
      </w:pPr>
    </w:p>
    <w:p w14:paraId="291CC775" w14:textId="533C525F" w:rsidR="00131C18" w:rsidRDefault="004A33FB">
      <w:pPr>
        <w:pStyle w:val="normal0"/>
        <w:spacing w:after="160" w:line="259" w:lineRule="auto"/>
        <w:rPr>
          <w:rFonts w:ascii="Nunito" w:eastAsia="Nunito" w:hAnsi="Nunito" w:cs="Nunito"/>
        </w:rPr>
      </w:pPr>
      <w:r>
        <w:rPr>
          <w:rFonts w:ascii="Nunito" w:eastAsia="Nunito" w:hAnsi="Nunito" w:cs="Nunito"/>
          <w:i/>
        </w:rPr>
        <w:t>Our response</w:t>
      </w:r>
      <w:r>
        <w:rPr>
          <w:rFonts w:ascii="Nunito" w:eastAsia="Nunito" w:hAnsi="Nunito" w:cs="Nunito"/>
        </w:rPr>
        <w:t>: While the SHLAA doesn't actually determine whether a particular site should be allocated for development, it is still significant regarding density as the assumptions on capacity made in it feed the</w:t>
      </w:r>
      <w:r w:rsidR="00570B15">
        <w:rPr>
          <w:rFonts w:ascii="Nunito" w:eastAsia="Nunito" w:hAnsi="Nunito" w:cs="Nunito"/>
        </w:rPr>
        <w:t xml:space="preserve"> plan targets and thus</w:t>
      </w:r>
      <w:r>
        <w:rPr>
          <w:rFonts w:ascii="Nunito" w:eastAsia="Nunito" w:hAnsi="Nunito" w:cs="Nunito"/>
        </w:rPr>
        <w:t xml:space="preserve"> development plan documents which have direct influence over the future development. As such, if capacity is set too high in the SHLAA, it could come back to hurt Boroughs who may have to resort to pushing down standards in order to meet ambitious housing targets set out by the GLA. </w:t>
      </w:r>
    </w:p>
    <w:p w14:paraId="501CA2DA" w14:textId="77777777" w:rsidR="00131C18" w:rsidRDefault="004A33FB">
      <w:pPr>
        <w:pStyle w:val="normal0"/>
        <w:spacing w:after="160" w:line="259" w:lineRule="auto"/>
        <w:rPr>
          <w:rFonts w:ascii="Calibri" w:eastAsia="Calibri" w:hAnsi="Calibri" w:cs="Calibri"/>
        </w:rPr>
      </w:pPr>
      <w:r>
        <w:rPr>
          <w:rFonts w:ascii="Nunito" w:eastAsia="Nunito" w:hAnsi="Nunito" w:cs="Nunito"/>
        </w:rPr>
        <w:t>Additionally, while boroughs are given opportunities to challenge the default density assumptions, we believe that the system could be made stronger if it provided an opportunity for communities to be involved in this process. Through offering such opportunity we think that the SHLAA would provide a more realistic outlook of future housing capacity, which takes into account factors which may hinder or favour densification of an area based on how communities perceive the character of there locality and there openness to densification.</w:t>
      </w:r>
    </w:p>
    <w:p w14:paraId="75A06CBE" w14:textId="25297F78" w:rsidR="00131C18" w:rsidRDefault="007A7126">
      <w:pPr>
        <w:pStyle w:val="normal0"/>
        <w:jc w:val="both"/>
        <w:rPr>
          <w:rFonts w:ascii="Nunito" w:eastAsia="Nunito" w:hAnsi="Nunito" w:cs="Nunito"/>
          <w:b/>
          <w:sz w:val="26"/>
          <w:szCs w:val="26"/>
          <w:u w:val="single"/>
        </w:rPr>
      </w:pPr>
      <w:r>
        <w:rPr>
          <w:rFonts w:ascii="Nunito" w:eastAsia="Nunito" w:hAnsi="Nunito" w:cs="Nunito"/>
          <w:sz w:val="40"/>
          <w:szCs w:val="40"/>
        </w:rPr>
        <w:t>2.2. Estate r</w:t>
      </w:r>
      <w:r w:rsidR="004A33FB">
        <w:rPr>
          <w:rFonts w:ascii="Nunito" w:eastAsia="Nunito" w:hAnsi="Nunito" w:cs="Nunito"/>
          <w:sz w:val="40"/>
          <w:szCs w:val="40"/>
        </w:rPr>
        <w:t>egeneration</w:t>
      </w:r>
    </w:p>
    <w:p w14:paraId="2678B647" w14:textId="1FF50517" w:rsidR="00131C18" w:rsidRDefault="004A33FB">
      <w:pPr>
        <w:pStyle w:val="normal0"/>
        <w:spacing w:after="160" w:line="259" w:lineRule="auto"/>
        <w:rPr>
          <w:rFonts w:ascii="Nunito" w:eastAsia="Nunito" w:hAnsi="Nunito" w:cs="Nunito"/>
        </w:rPr>
      </w:pPr>
      <w:r>
        <w:rPr>
          <w:rFonts w:ascii="Nunito" w:eastAsia="Nunito" w:hAnsi="Nunito" w:cs="Nunito"/>
        </w:rPr>
        <w:t xml:space="preserve">The SHLAA indicates that in large sites which already include homes (such as housing estates), local planning authorities are required to add the existing number of homes on site to ensure that the density and notional housing capacity estimates in the SHLAA reflect the </w:t>
      </w:r>
      <w:r w:rsidRPr="00570B15">
        <w:rPr>
          <w:rFonts w:ascii="Nunito" w:eastAsia="Nunito" w:hAnsi="Nunito" w:cs="Nunito"/>
          <w:b/>
          <w:u w:val="single"/>
        </w:rPr>
        <w:t>net</w:t>
      </w:r>
      <w:r>
        <w:rPr>
          <w:rFonts w:ascii="Nunito" w:eastAsia="Nunito" w:hAnsi="Nunito" w:cs="Nunito"/>
        </w:rPr>
        <w:t xml:space="preserve"> </w:t>
      </w:r>
      <w:r w:rsidRPr="007A7126">
        <w:rPr>
          <w:rFonts w:ascii="Nunito" w:eastAsia="Nunito" w:hAnsi="Nunito" w:cs="Nunito"/>
          <w:b/>
          <w:u w:val="single"/>
        </w:rPr>
        <w:t>additional</w:t>
      </w:r>
      <w:r>
        <w:rPr>
          <w:rFonts w:ascii="Nunito" w:eastAsia="Nunito" w:hAnsi="Nunito" w:cs="Nunito"/>
        </w:rPr>
        <w:t xml:space="preserve"> housing expected to be delivered. </w:t>
      </w:r>
    </w:p>
    <w:p w14:paraId="7FF58201" w14:textId="0DE462CA" w:rsidR="00131C18" w:rsidRDefault="004A33FB">
      <w:pPr>
        <w:pStyle w:val="normal0"/>
        <w:spacing w:after="160" w:line="259" w:lineRule="auto"/>
        <w:rPr>
          <w:rFonts w:ascii="Nunito" w:eastAsia="Nunito" w:hAnsi="Nunito" w:cs="Nunito"/>
        </w:rPr>
      </w:pPr>
      <w:r>
        <w:rPr>
          <w:rFonts w:ascii="Nunito" w:eastAsia="Nunito" w:hAnsi="Nunito" w:cs="Nunito"/>
        </w:rPr>
        <w:t xml:space="preserve">Social housing </w:t>
      </w:r>
      <w:r w:rsidR="00570B15">
        <w:rPr>
          <w:rFonts w:ascii="Nunito" w:eastAsia="Nunito" w:hAnsi="Nunito" w:cs="Nunito"/>
        </w:rPr>
        <w:t xml:space="preserve">is </w:t>
      </w:r>
      <w:r>
        <w:rPr>
          <w:rFonts w:ascii="Nunito" w:eastAsia="Nunito" w:hAnsi="Nunito" w:cs="Nunito"/>
        </w:rPr>
        <w:t xml:space="preserve">considered a ‘Low probability’ in the SHLAA in locations where there is currently no intensification programme in place. Boroughs have power to re-classify such sites as low probability where they don’t meet this requirement. Low probability sites are given an 8% probability of delivering housing. This 8% figure is based upon percentage of low probability sites in the 2009 SHLAA which have since come through and been approved for housing. </w:t>
      </w:r>
    </w:p>
    <w:p w14:paraId="175EE277" w14:textId="15D0FE07" w:rsidR="00131C18" w:rsidRDefault="004A33FB" w:rsidP="007A7126">
      <w:pPr>
        <w:pStyle w:val="normal0"/>
        <w:spacing w:after="160" w:line="259" w:lineRule="auto"/>
        <w:rPr>
          <w:rFonts w:ascii="Nunito" w:eastAsia="Nunito" w:hAnsi="Nunito" w:cs="Nunito"/>
        </w:rPr>
      </w:pPr>
      <w:r>
        <w:rPr>
          <w:rFonts w:ascii="Nunito" w:eastAsia="Nunito" w:hAnsi="Nunito" w:cs="Nunito"/>
        </w:rPr>
        <w:lastRenderedPageBreak/>
        <w:t>As a comparison, 2,600 net additional completions have been provided from estate regeneration schemes between 2008/9 and 2015/167.</w:t>
      </w:r>
    </w:p>
    <w:p w14:paraId="2E22B06B" w14:textId="2E45893A" w:rsidR="00131C18" w:rsidRDefault="004A33FB">
      <w:pPr>
        <w:pStyle w:val="normal0"/>
        <w:spacing w:line="259" w:lineRule="auto"/>
        <w:rPr>
          <w:rFonts w:ascii="Nunito" w:eastAsia="Nunito" w:hAnsi="Nunito" w:cs="Nunito"/>
        </w:rPr>
      </w:pPr>
      <w:r>
        <w:rPr>
          <w:rFonts w:ascii="Nunito" w:eastAsia="Nunito" w:hAnsi="Nunito" w:cs="Nunito"/>
          <w:i/>
        </w:rPr>
        <w:t>Our response</w:t>
      </w:r>
      <w:r>
        <w:rPr>
          <w:rFonts w:ascii="Nunito" w:eastAsia="Nunito" w:hAnsi="Nunito" w:cs="Nunito"/>
        </w:rPr>
        <w:t>: The methodology of the SHLAA in areas of social housing does not explicitly identify the extent to which such areas are included in the capacity assumptions. We believe that this reflects the politically contentious nature of such sites and the lack of political will to give a</w:t>
      </w:r>
      <w:r w:rsidR="007A7126">
        <w:rPr>
          <w:rFonts w:ascii="Nunito" w:eastAsia="Nunito" w:hAnsi="Nunito" w:cs="Nunito"/>
        </w:rPr>
        <w:t xml:space="preserve"> straight answer regarding their</w:t>
      </w:r>
      <w:r>
        <w:rPr>
          <w:rFonts w:ascii="Nunito" w:eastAsia="Nunito" w:hAnsi="Nunito" w:cs="Nunito"/>
        </w:rPr>
        <w:t xml:space="preserve"> significance in increasing housing capacity across London. The fact that the SHLAA indicates that they are problematic sites with low probability of coming forward reinforces this.</w:t>
      </w:r>
    </w:p>
    <w:p w14:paraId="03D6D3C3" w14:textId="77777777" w:rsidR="00131C18" w:rsidRDefault="00131C18">
      <w:pPr>
        <w:pStyle w:val="normal0"/>
        <w:spacing w:line="259" w:lineRule="auto"/>
        <w:rPr>
          <w:rFonts w:ascii="Nunito" w:eastAsia="Nunito" w:hAnsi="Nunito" w:cs="Nunito"/>
        </w:rPr>
      </w:pPr>
    </w:p>
    <w:p w14:paraId="63869FFA" w14:textId="0533FB38" w:rsidR="00131C18" w:rsidRDefault="004A33FB">
      <w:pPr>
        <w:pStyle w:val="normal0"/>
        <w:spacing w:line="259" w:lineRule="auto"/>
        <w:rPr>
          <w:rFonts w:ascii="Nunito" w:eastAsia="Nunito" w:hAnsi="Nunito" w:cs="Nunito"/>
        </w:rPr>
      </w:pPr>
      <w:r>
        <w:rPr>
          <w:rFonts w:ascii="Nunito" w:eastAsia="Nunito" w:hAnsi="Nunito" w:cs="Nunito"/>
        </w:rPr>
        <w:t>While the SHLAA does consider existing capacity on social housing estates and set its capacity assumptions to match or build upon what is already there, it doesn’t indicate what will happen with existing buildings and whether they will be retained, built around or demolished. Additionally it doesn’t indicate what will happen with the people living there presently - will they be displaced and will the same level of social and affordable accomodation be available post regeneration. While we acknowledge that SHLAA is primarily a land availability exercise, we think it is irresponsible for occupied housing estates to be included within it because of the social importance of the sites. If they are to be in</w:t>
      </w:r>
      <w:r w:rsidR="007A7126">
        <w:rPr>
          <w:rFonts w:ascii="Nunito" w:eastAsia="Nunito" w:hAnsi="Nunito" w:cs="Nunito"/>
        </w:rPr>
        <w:t>cluded it must be done</w:t>
      </w:r>
      <w:r>
        <w:rPr>
          <w:rFonts w:ascii="Nunito" w:eastAsia="Nunito" w:hAnsi="Nunito" w:cs="Nunito"/>
        </w:rPr>
        <w:t xml:space="preserve"> with care.</w:t>
      </w:r>
    </w:p>
    <w:p w14:paraId="202BEBFF" w14:textId="77777777" w:rsidR="00131C18" w:rsidRDefault="00131C18">
      <w:pPr>
        <w:pStyle w:val="normal0"/>
        <w:spacing w:line="259" w:lineRule="auto"/>
        <w:rPr>
          <w:rFonts w:ascii="Nunito" w:eastAsia="Nunito" w:hAnsi="Nunito" w:cs="Nunito"/>
        </w:rPr>
      </w:pPr>
    </w:p>
    <w:p w14:paraId="11465831" w14:textId="363941E0" w:rsidR="00131C18" w:rsidRDefault="004A33FB" w:rsidP="007A7126">
      <w:pPr>
        <w:pStyle w:val="normal0"/>
        <w:jc w:val="both"/>
        <w:rPr>
          <w:rFonts w:ascii="Nunito" w:eastAsia="Nunito" w:hAnsi="Nunito" w:cs="Nunito"/>
        </w:rPr>
      </w:pPr>
      <w:r>
        <w:rPr>
          <w:rFonts w:ascii="Nunito" w:eastAsia="Nunito" w:hAnsi="Nunito" w:cs="Nunito"/>
          <w:sz w:val="40"/>
          <w:szCs w:val="40"/>
        </w:rPr>
        <w:t>2.3. Phasing</w:t>
      </w:r>
    </w:p>
    <w:p w14:paraId="52B1FE2E" w14:textId="7AB000D8" w:rsidR="00131C18" w:rsidRDefault="004A33FB">
      <w:pPr>
        <w:pStyle w:val="normal0"/>
        <w:spacing w:line="240" w:lineRule="auto"/>
        <w:jc w:val="both"/>
        <w:rPr>
          <w:rFonts w:ascii="Nunito" w:eastAsia="Nunito" w:hAnsi="Nunito" w:cs="Nunito"/>
        </w:rPr>
      </w:pPr>
      <w:r>
        <w:rPr>
          <w:rFonts w:ascii="Nunito" w:eastAsia="Nunito" w:hAnsi="Nunito" w:cs="Nunito"/>
        </w:rPr>
        <w:t xml:space="preserve">Phasing on large sites is based upon the probability of a site coming forward which takes into account a number of different planning and constraint layers (Table 2.2 Page 14). Sites with approvals are delivered first, sites with allocations second and other large sites which are yet to be formally allocated developed last. </w:t>
      </w:r>
      <w:r w:rsidR="007A7126">
        <w:rPr>
          <w:rFonts w:ascii="Nunito" w:eastAsia="Nunito" w:hAnsi="Nunito" w:cs="Nunito"/>
        </w:rPr>
        <w:t>T</w:t>
      </w:r>
      <w:r>
        <w:rPr>
          <w:rFonts w:ascii="Nunito" w:eastAsia="Nunito" w:hAnsi="Nunito" w:cs="Nunito"/>
        </w:rPr>
        <w:t xml:space="preserve">he SHLAA model discounts the notional capacity of </w:t>
      </w:r>
      <w:r w:rsidR="007A7126">
        <w:rPr>
          <w:rFonts w:ascii="Nunito" w:eastAsia="Nunito" w:hAnsi="Nunito" w:cs="Nunito"/>
        </w:rPr>
        <w:t>‘probability’</w:t>
      </w:r>
      <w:r>
        <w:rPr>
          <w:rFonts w:ascii="Nunito" w:eastAsia="Nunito" w:hAnsi="Nunito" w:cs="Nunito"/>
        </w:rPr>
        <w:t xml:space="preserve"> sites to account for the reduced probability of such sites coming forward. </w:t>
      </w:r>
    </w:p>
    <w:p w14:paraId="11711543" w14:textId="77777777" w:rsidR="00131C18" w:rsidRDefault="00131C18">
      <w:pPr>
        <w:pStyle w:val="normal0"/>
        <w:spacing w:line="240" w:lineRule="auto"/>
        <w:jc w:val="both"/>
        <w:rPr>
          <w:rFonts w:ascii="Nunito" w:eastAsia="Nunito" w:hAnsi="Nunito" w:cs="Nunito"/>
        </w:rPr>
      </w:pPr>
    </w:p>
    <w:p w14:paraId="2D767633" w14:textId="4D1D4B0A" w:rsidR="00131C18" w:rsidRDefault="004A33FB">
      <w:pPr>
        <w:pStyle w:val="normal0"/>
        <w:spacing w:line="240" w:lineRule="auto"/>
        <w:jc w:val="both"/>
        <w:rPr>
          <w:rFonts w:ascii="Nunito" w:eastAsia="Nunito" w:hAnsi="Nunito" w:cs="Nunito"/>
        </w:rPr>
      </w:pPr>
      <w:r>
        <w:rPr>
          <w:rFonts w:ascii="Nunito" w:eastAsia="Nunito" w:hAnsi="Nunito" w:cs="Nunito"/>
        </w:rPr>
        <w:t>Sites are identified to be brought forward for development across 5 phases:</w:t>
      </w:r>
    </w:p>
    <w:p w14:paraId="34A15792" w14:textId="77777777" w:rsidR="00131C18" w:rsidRDefault="004A33FB">
      <w:pPr>
        <w:pStyle w:val="normal0"/>
        <w:numPr>
          <w:ilvl w:val="0"/>
          <w:numId w:val="3"/>
        </w:numPr>
        <w:spacing w:line="240" w:lineRule="auto"/>
        <w:jc w:val="both"/>
      </w:pPr>
      <w:r>
        <w:rPr>
          <w:rFonts w:ascii="Nunito" w:eastAsia="Nunito" w:hAnsi="Nunito" w:cs="Nunito"/>
        </w:rPr>
        <w:t>Phase 1 (2017- 2029) - Sites with permission and development has already started.</w:t>
      </w:r>
    </w:p>
    <w:p w14:paraId="2CA95C19" w14:textId="77777777" w:rsidR="00131C18" w:rsidRDefault="004A33FB">
      <w:pPr>
        <w:pStyle w:val="normal0"/>
        <w:numPr>
          <w:ilvl w:val="0"/>
          <w:numId w:val="3"/>
        </w:numPr>
        <w:spacing w:line="240" w:lineRule="auto"/>
        <w:jc w:val="both"/>
      </w:pPr>
      <w:r>
        <w:rPr>
          <w:rFonts w:ascii="Nunito" w:eastAsia="Nunito" w:hAnsi="Nunito" w:cs="Nunito"/>
        </w:rPr>
        <w:t xml:space="preserve">Phase 2 (2019- 2024) - Sites with permission and development has not started. Potential or allocated sites with 100% probability. </w:t>
      </w:r>
    </w:p>
    <w:p w14:paraId="783EFFAC" w14:textId="77777777" w:rsidR="00131C18" w:rsidRDefault="004A33FB">
      <w:pPr>
        <w:pStyle w:val="normal0"/>
        <w:numPr>
          <w:ilvl w:val="0"/>
          <w:numId w:val="3"/>
        </w:numPr>
        <w:spacing w:line="240" w:lineRule="auto"/>
        <w:jc w:val="both"/>
      </w:pPr>
      <w:r>
        <w:rPr>
          <w:rFonts w:ascii="Nunito" w:eastAsia="Nunito" w:hAnsi="Nunito" w:cs="Nunito"/>
        </w:rPr>
        <w:t xml:space="preserve">Phase 3 (2024- 2029) - Potential or allocated sites with 60-100% probability. </w:t>
      </w:r>
    </w:p>
    <w:p w14:paraId="23E36C76" w14:textId="77777777" w:rsidR="00131C18" w:rsidRDefault="004A33FB">
      <w:pPr>
        <w:pStyle w:val="normal0"/>
        <w:numPr>
          <w:ilvl w:val="0"/>
          <w:numId w:val="3"/>
        </w:numPr>
        <w:spacing w:line="240" w:lineRule="auto"/>
        <w:jc w:val="both"/>
      </w:pPr>
      <w:r>
        <w:rPr>
          <w:rFonts w:ascii="Nunito" w:eastAsia="Nunito" w:hAnsi="Nunito" w:cs="Nunito"/>
        </w:rPr>
        <w:t>Phase 4 (2029- 2034) - Potential or allocated sites with under 60% probability.</w:t>
      </w:r>
    </w:p>
    <w:p w14:paraId="66C4B1D2" w14:textId="77777777" w:rsidR="00131C18" w:rsidRDefault="004A33FB">
      <w:pPr>
        <w:pStyle w:val="normal0"/>
        <w:numPr>
          <w:ilvl w:val="0"/>
          <w:numId w:val="3"/>
        </w:numPr>
        <w:spacing w:line="240" w:lineRule="auto"/>
        <w:jc w:val="both"/>
      </w:pPr>
      <w:r>
        <w:rPr>
          <w:rFonts w:ascii="Nunito" w:eastAsia="Nunito" w:hAnsi="Nunito" w:cs="Nunito"/>
        </w:rPr>
        <w:t>Phases 3-5 (Phase 5: 2034-2041) - Capacity on low probability sites.</w:t>
      </w:r>
    </w:p>
    <w:p w14:paraId="22E6C605" w14:textId="77777777" w:rsidR="00131C18" w:rsidRDefault="00131C18">
      <w:pPr>
        <w:pStyle w:val="normal0"/>
        <w:spacing w:after="160" w:line="259" w:lineRule="auto"/>
        <w:jc w:val="both"/>
        <w:rPr>
          <w:rFonts w:ascii="Nunito" w:eastAsia="Nunito" w:hAnsi="Nunito" w:cs="Nunito"/>
        </w:rPr>
      </w:pPr>
    </w:p>
    <w:p w14:paraId="0A47638B" w14:textId="77777777" w:rsidR="00131C18" w:rsidRDefault="004A33FB">
      <w:pPr>
        <w:pStyle w:val="normal0"/>
        <w:jc w:val="both"/>
        <w:rPr>
          <w:rFonts w:ascii="Nunito" w:eastAsia="Nunito" w:hAnsi="Nunito" w:cs="Nunito"/>
        </w:rPr>
      </w:pPr>
      <w:r>
        <w:rPr>
          <w:rFonts w:ascii="Nunito" w:eastAsia="Nunito" w:hAnsi="Nunito" w:cs="Nunito"/>
          <w:i/>
        </w:rPr>
        <w:t xml:space="preserve">Our response: </w:t>
      </w:r>
      <w:r>
        <w:rPr>
          <w:rFonts w:ascii="Nunito" w:eastAsia="Nunito" w:hAnsi="Nunito" w:cs="Nunito"/>
        </w:rPr>
        <w:t>1/3 of large site allocation is on land not currently approved or allocated for housing. This raises questions about the feasibility of such land becoming available. Additionally, it raises the question of whether other important land uses could be lost (such as industrial spaces). By taking housing in isolation as SHLAA does, there is a risk that it is a bit of a one-dimensional policy. Further consideration of the impact that loss of other land uses could have should be considered within SHLAA or links should be made clearer with other relevant documents which cover such issues.</w:t>
      </w:r>
    </w:p>
    <w:p w14:paraId="6FC28809" w14:textId="77777777" w:rsidR="00131C18" w:rsidRDefault="00131C18">
      <w:pPr>
        <w:pStyle w:val="normal0"/>
        <w:jc w:val="both"/>
        <w:rPr>
          <w:rFonts w:ascii="Nunito" w:eastAsia="Nunito" w:hAnsi="Nunito" w:cs="Nunito"/>
        </w:rPr>
      </w:pPr>
    </w:p>
    <w:p w14:paraId="14E9B87C" w14:textId="6FA6C9B9" w:rsidR="00131C18" w:rsidRDefault="004A33FB">
      <w:pPr>
        <w:pStyle w:val="normal0"/>
        <w:spacing w:after="160" w:line="259" w:lineRule="auto"/>
        <w:jc w:val="both"/>
        <w:rPr>
          <w:rFonts w:ascii="Nunito" w:eastAsia="Nunito" w:hAnsi="Nunito" w:cs="Nunito"/>
          <w:b/>
          <w:sz w:val="44"/>
          <w:szCs w:val="44"/>
        </w:rPr>
      </w:pPr>
      <w:r>
        <w:rPr>
          <w:rFonts w:ascii="Nunito" w:eastAsia="Nunito" w:hAnsi="Nunito" w:cs="Nunito"/>
        </w:rPr>
        <w:t xml:space="preserve">Large proportions of potential development and low probability development are </w:t>
      </w:r>
      <w:r w:rsidR="007A7126">
        <w:rPr>
          <w:rFonts w:ascii="Nunito" w:eastAsia="Nunito" w:hAnsi="Nunito" w:cs="Nunito"/>
        </w:rPr>
        <w:t>located in</w:t>
      </w:r>
      <w:r>
        <w:rPr>
          <w:rFonts w:ascii="Nunito" w:eastAsia="Nunito" w:hAnsi="Nunito" w:cs="Nunito"/>
        </w:rPr>
        <w:t xml:space="preserve"> poorer boroughs including Tower Hamlets, Newham, Greenwich, Croydon, Brent and B&amp;D (Appendix 1) where more of the affordable housing stock is currently located. While the SHLAA acknowledges the potential value of redeveloping such areas, it doesn’t consider the knock-on effect that redevelopment within these areas could have on increasing land values. </w:t>
      </w:r>
    </w:p>
    <w:p w14:paraId="5A7C06DE" w14:textId="440BF6C9" w:rsidR="00131C18" w:rsidRDefault="004A33FB">
      <w:pPr>
        <w:pStyle w:val="normal0"/>
        <w:jc w:val="both"/>
        <w:rPr>
          <w:rFonts w:ascii="Nunito" w:eastAsia="Nunito" w:hAnsi="Nunito" w:cs="Nunito"/>
          <w:b/>
          <w:sz w:val="44"/>
          <w:szCs w:val="44"/>
        </w:rPr>
      </w:pPr>
      <w:r>
        <w:rPr>
          <w:rFonts w:ascii="Nunito" w:eastAsia="Nunito" w:hAnsi="Nunito" w:cs="Nunito"/>
          <w:b/>
          <w:sz w:val="44"/>
          <w:szCs w:val="44"/>
        </w:rPr>
        <w:lastRenderedPageBreak/>
        <w:t>3: Small Sites</w:t>
      </w:r>
    </w:p>
    <w:p w14:paraId="6B8A4D67" w14:textId="1A074ED8" w:rsidR="00131C18" w:rsidRPr="007A7126" w:rsidRDefault="004A33FB">
      <w:pPr>
        <w:pStyle w:val="normal0"/>
        <w:rPr>
          <w:rFonts w:ascii="Nunito" w:eastAsia="Nunito" w:hAnsi="Nunito" w:cs="Nunito"/>
          <w:b/>
          <w:sz w:val="26"/>
          <w:szCs w:val="26"/>
          <w:u w:val="single"/>
        </w:rPr>
      </w:pPr>
      <w:r>
        <w:rPr>
          <w:rFonts w:ascii="Nunito" w:eastAsia="Nunito" w:hAnsi="Nunito" w:cs="Nunito"/>
          <w:b/>
          <w:sz w:val="26"/>
          <w:szCs w:val="26"/>
          <w:u w:val="single"/>
        </w:rPr>
        <w:t xml:space="preserve">What is Policy H2: Small Sites? </w:t>
      </w:r>
    </w:p>
    <w:p w14:paraId="33C8689F" w14:textId="1A9C4834" w:rsidR="00131C18" w:rsidRDefault="004A33FB">
      <w:pPr>
        <w:pStyle w:val="normal0"/>
        <w:rPr>
          <w:rFonts w:ascii="Nunito" w:eastAsia="Nunito" w:hAnsi="Nunito" w:cs="Nunito"/>
        </w:rPr>
      </w:pPr>
      <w:r>
        <w:rPr>
          <w:rFonts w:ascii="Nunito" w:eastAsia="Nunito" w:hAnsi="Nunito" w:cs="Nunito"/>
        </w:rPr>
        <w:t xml:space="preserve">To meet the target of 66,000 homes per year (SHMA 2017), the draft London Plan enthusiastically supports the </w:t>
      </w:r>
      <w:r w:rsidR="007A7126">
        <w:rPr>
          <w:rFonts w:ascii="Nunito" w:eastAsia="Nunito" w:hAnsi="Nunito" w:cs="Nunito"/>
        </w:rPr>
        <w:t>development of Small Sites, these</w:t>
      </w:r>
      <w:r>
        <w:rPr>
          <w:rFonts w:ascii="Nunito" w:eastAsia="Nunito" w:hAnsi="Nunito" w:cs="Nunito"/>
        </w:rPr>
        <w:t xml:space="preserve"> being a ‘strategic priority’ for London to meets its housing requirements (The Draft London Plan 2017: </w:t>
      </w:r>
      <w:r w:rsidR="007A7126">
        <w:rPr>
          <w:rFonts w:ascii="Nunito" w:eastAsia="Nunito" w:hAnsi="Nunito" w:cs="Nunito"/>
        </w:rPr>
        <w:t>§</w:t>
      </w:r>
      <w:r>
        <w:rPr>
          <w:rFonts w:ascii="Nunito" w:eastAsia="Nunito" w:hAnsi="Nunito" w:cs="Nunito"/>
        </w:rPr>
        <w:t xml:space="preserve">4.2.1). </w:t>
      </w:r>
    </w:p>
    <w:p w14:paraId="2A626D83" w14:textId="77777777" w:rsidR="00131C18" w:rsidRDefault="00131C18">
      <w:pPr>
        <w:pStyle w:val="normal0"/>
        <w:rPr>
          <w:rFonts w:ascii="Nunito" w:eastAsia="Nunito" w:hAnsi="Nunito" w:cs="Nunito"/>
        </w:rPr>
      </w:pPr>
    </w:p>
    <w:p w14:paraId="1D0FF496" w14:textId="77777777" w:rsidR="00131C18" w:rsidRDefault="004A33FB">
      <w:pPr>
        <w:pStyle w:val="normal0"/>
        <w:rPr>
          <w:rFonts w:ascii="Nunito" w:eastAsia="Nunito" w:hAnsi="Nunito" w:cs="Nunito"/>
        </w:rPr>
      </w:pPr>
      <w:r>
        <w:rPr>
          <w:rFonts w:ascii="Nunito" w:eastAsia="Nunito" w:hAnsi="Nunito" w:cs="Nunito"/>
        </w:rPr>
        <w:t xml:space="preserve">The ten-year target (2019/20-2028/29) for net housing completions on Small Sites has an annualised average of 24,573 (The Draft London Plan 2017 p. 156) . </w:t>
      </w:r>
    </w:p>
    <w:p w14:paraId="0826E89A" w14:textId="77777777" w:rsidR="00131C18" w:rsidRDefault="00131C18">
      <w:pPr>
        <w:pStyle w:val="normal0"/>
        <w:rPr>
          <w:rFonts w:ascii="Nunito" w:eastAsia="Nunito" w:hAnsi="Nunito" w:cs="Nunito"/>
        </w:rPr>
      </w:pPr>
    </w:p>
    <w:p w14:paraId="57B601B5" w14:textId="77777777" w:rsidR="00131C18" w:rsidRDefault="004A33FB">
      <w:pPr>
        <w:pStyle w:val="normal0"/>
        <w:rPr>
          <w:rFonts w:ascii="Nunito" w:eastAsia="Nunito" w:hAnsi="Nunito" w:cs="Nunito"/>
        </w:rPr>
      </w:pPr>
      <w:r>
        <w:rPr>
          <w:rFonts w:ascii="Nunito" w:eastAsia="Nunito" w:hAnsi="Nunito" w:cs="Nunito"/>
        </w:rPr>
        <w:t xml:space="preserve">A Small Site development consists of one to 25 homes on a site no larger than 0.25 hectares. </w:t>
      </w:r>
    </w:p>
    <w:p w14:paraId="7C6C6B92" w14:textId="77777777" w:rsidR="00131C18" w:rsidRDefault="00131C18">
      <w:pPr>
        <w:pStyle w:val="normal0"/>
        <w:rPr>
          <w:rFonts w:ascii="Nunito" w:eastAsia="Nunito" w:hAnsi="Nunito" w:cs="Nunito"/>
        </w:rPr>
      </w:pPr>
    </w:p>
    <w:p w14:paraId="6667B2AD" w14:textId="77777777" w:rsidR="00131C18" w:rsidRDefault="004A33FB">
      <w:pPr>
        <w:pStyle w:val="normal0"/>
        <w:rPr>
          <w:rFonts w:ascii="Nunito" w:eastAsia="Nunito" w:hAnsi="Nunito" w:cs="Nunito"/>
        </w:rPr>
      </w:pPr>
      <w:r>
        <w:rPr>
          <w:rFonts w:ascii="Nunito" w:eastAsia="Nunito" w:hAnsi="Nunito" w:cs="Nunito"/>
        </w:rPr>
        <w:t>They may be developed through several ways, including but not limited to infill of vacant/underused sites, conversion and extension of existing residential homes and upward extension of flats and non-residential buildings (The Draft London Plan 2017: p. 153).</w:t>
      </w:r>
    </w:p>
    <w:p w14:paraId="333E93C1" w14:textId="77777777" w:rsidR="00131C18" w:rsidRDefault="00131C18">
      <w:pPr>
        <w:pStyle w:val="normal0"/>
        <w:rPr>
          <w:rFonts w:ascii="Nunito" w:eastAsia="Nunito" w:hAnsi="Nunito" w:cs="Nunito"/>
        </w:rPr>
      </w:pPr>
    </w:p>
    <w:p w14:paraId="02B72517" w14:textId="77777777" w:rsidR="00131C18" w:rsidRDefault="004A33FB">
      <w:pPr>
        <w:pStyle w:val="normal0"/>
        <w:rPr>
          <w:rFonts w:ascii="Nunito" w:eastAsia="Nunito" w:hAnsi="Nunito" w:cs="Nunito"/>
        </w:rPr>
      </w:pPr>
      <w:r>
        <w:rPr>
          <w:rFonts w:ascii="Nunito" w:eastAsia="Nunito" w:hAnsi="Nunito" w:cs="Nunito"/>
        </w:rPr>
        <w:t xml:space="preserve">The GLA Integrated Impact Assessment (2017: 8.2 GG2) also emphasises the importance of Small Sites with their vision of London, suggesting that they may provide short-term housing options contributing significantly to housing delivery and will provide housing at a quicker rate. </w:t>
      </w:r>
    </w:p>
    <w:p w14:paraId="47168BE4" w14:textId="77777777" w:rsidR="00131C18" w:rsidRDefault="00131C18">
      <w:pPr>
        <w:pStyle w:val="normal0"/>
        <w:rPr>
          <w:rFonts w:ascii="Nunito" w:eastAsia="Nunito" w:hAnsi="Nunito" w:cs="Nunito"/>
        </w:rPr>
      </w:pPr>
    </w:p>
    <w:p w14:paraId="47018DEF" w14:textId="77777777" w:rsidR="00131C18" w:rsidRDefault="004A33FB">
      <w:pPr>
        <w:pStyle w:val="normal0"/>
        <w:rPr>
          <w:rFonts w:ascii="Nunito" w:eastAsia="Nunito" w:hAnsi="Nunito" w:cs="Nunito"/>
        </w:rPr>
      </w:pPr>
      <w:r>
        <w:rPr>
          <w:rFonts w:ascii="Nunito" w:eastAsia="Nunito" w:hAnsi="Nunito" w:cs="Nunito"/>
        </w:rPr>
        <w:t xml:space="preserve">The following sections outline two main critiques found through our reading of Policy H2, and supplemented through other policy document readings. </w:t>
      </w:r>
    </w:p>
    <w:p w14:paraId="21AEEE15" w14:textId="77777777" w:rsidR="00131C18" w:rsidRDefault="00131C18">
      <w:pPr>
        <w:pStyle w:val="normal0"/>
        <w:rPr>
          <w:rFonts w:ascii="Nunito" w:eastAsia="Nunito" w:hAnsi="Nunito" w:cs="Nunito"/>
        </w:rPr>
      </w:pPr>
    </w:p>
    <w:p w14:paraId="08020A1C" w14:textId="0ACDCAA1" w:rsidR="00131C18" w:rsidRPr="00897CB9" w:rsidRDefault="004A33FB">
      <w:pPr>
        <w:pStyle w:val="normal0"/>
        <w:rPr>
          <w:rFonts w:ascii="Nunito" w:eastAsia="Nunito" w:hAnsi="Nunito" w:cs="Nunito"/>
        </w:rPr>
      </w:pPr>
      <w:r>
        <w:rPr>
          <w:rFonts w:ascii="Nunito" w:eastAsia="Nunito" w:hAnsi="Nunito" w:cs="Nunito"/>
          <w:b/>
          <w:sz w:val="26"/>
          <w:szCs w:val="26"/>
          <w:u w:val="single"/>
        </w:rPr>
        <w:t>Our Response:</w:t>
      </w:r>
      <w:r w:rsidR="00897CB9">
        <w:rPr>
          <w:rFonts w:ascii="Nunito" w:eastAsia="Nunito" w:hAnsi="Nunito" w:cs="Nunito"/>
        </w:rPr>
        <w:t xml:space="preserve">  </w:t>
      </w:r>
      <w:r>
        <w:rPr>
          <w:rFonts w:ascii="Nunito" w:eastAsia="Nunito" w:hAnsi="Nunito" w:cs="Nunito"/>
          <w:b/>
          <w:sz w:val="24"/>
          <w:szCs w:val="24"/>
          <w:u w:val="single"/>
        </w:rPr>
        <w:t xml:space="preserve">1: A more proactive approach to Affordable Housing contributions of Small Sites is needed </w:t>
      </w:r>
    </w:p>
    <w:p w14:paraId="10BE2336" w14:textId="3350CAC1" w:rsidR="00131C18" w:rsidRDefault="004A33FB">
      <w:pPr>
        <w:pStyle w:val="normal0"/>
        <w:jc w:val="both"/>
        <w:rPr>
          <w:rFonts w:ascii="Nunito" w:eastAsia="Nunito" w:hAnsi="Nunito" w:cs="Nunito"/>
        </w:rPr>
      </w:pPr>
      <w:r>
        <w:rPr>
          <w:rFonts w:ascii="Nunito" w:eastAsia="Nunito" w:hAnsi="Nunito" w:cs="Nunito"/>
        </w:rPr>
        <w:t>Despite a hu</w:t>
      </w:r>
      <w:r w:rsidR="00897CB9">
        <w:rPr>
          <w:rFonts w:ascii="Nunito" w:eastAsia="Nunito" w:hAnsi="Nunito" w:cs="Nunito"/>
        </w:rPr>
        <w:t>ge need for affordable housing —</w:t>
      </w:r>
      <w:r>
        <w:rPr>
          <w:rFonts w:ascii="Nunito" w:eastAsia="Nunito" w:hAnsi="Nunito" w:cs="Nunito"/>
        </w:rPr>
        <w:t>65% of new</w:t>
      </w:r>
      <w:r w:rsidR="00897CB9">
        <w:rPr>
          <w:rFonts w:ascii="Nunito" w:eastAsia="Nunito" w:hAnsi="Nunito" w:cs="Nunito"/>
        </w:rPr>
        <w:t xml:space="preserve"> housing according to the SHMA— </w:t>
      </w:r>
      <w:r>
        <w:rPr>
          <w:rFonts w:ascii="Nunito" w:eastAsia="Nunito" w:hAnsi="Nunito" w:cs="Nunito"/>
        </w:rPr>
        <w:t>Policy H2 has a weak position on the role of Small Sites in delivering London t</w:t>
      </w:r>
      <w:r w:rsidR="00897CB9">
        <w:rPr>
          <w:rFonts w:ascii="Nunito" w:eastAsia="Nunito" w:hAnsi="Nunito" w:cs="Nunito"/>
        </w:rPr>
        <w:t>he affordable housing it needs: sites of ten units or</w:t>
      </w:r>
      <w:r>
        <w:rPr>
          <w:rFonts w:ascii="Nunito" w:eastAsia="Nunito" w:hAnsi="Nunito" w:cs="Nunito"/>
        </w:rPr>
        <w:t xml:space="preserve"> fewer are not required to provide affordable housing unless boroughs have applied their own affordable housing requirements. </w:t>
      </w:r>
    </w:p>
    <w:p w14:paraId="695984DD" w14:textId="77777777" w:rsidR="00131C18" w:rsidRDefault="00131C18">
      <w:pPr>
        <w:pStyle w:val="normal0"/>
        <w:jc w:val="both"/>
        <w:rPr>
          <w:rFonts w:ascii="Nunito" w:eastAsia="Nunito" w:hAnsi="Nunito" w:cs="Nunito"/>
        </w:rPr>
      </w:pPr>
    </w:p>
    <w:p w14:paraId="2A4AFF9B" w14:textId="77777777" w:rsidR="00131C18" w:rsidRDefault="004A33FB">
      <w:pPr>
        <w:pStyle w:val="normal0"/>
        <w:jc w:val="both"/>
        <w:rPr>
          <w:rFonts w:ascii="Nunito" w:eastAsia="Nunito" w:hAnsi="Nunito" w:cs="Nunito"/>
        </w:rPr>
      </w:pPr>
      <w:r>
        <w:rPr>
          <w:rFonts w:ascii="Nunito" w:eastAsia="Nunito" w:hAnsi="Nunito" w:cs="Nunito"/>
        </w:rPr>
        <w:t xml:space="preserve">If a borough does wish to apply such requirements to sites developing ten or fewer units and which have a maximum combined gross floor space of no more than 1000 sqm, they should do this </w:t>
      </w:r>
      <w:r>
        <w:rPr>
          <w:rFonts w:ascii="Nunito" w:eastAsia="Nunito" w:hAnsi="Nunito" w:cs="Nunito"/>
          <w:u w:val="single"/>
        </w:rPr>
        <w:t>not</w:t>
      </w:r>
      <w:r>
        <w:rPr>
          <w:rFonts w:ascii="Nunito" w:eastAsia="Nunito" w:hAnsi="Nunito" w:cs="Nunito"/>
        </w:rPr>
        <w:t xml:space="preserve"> through the requirements of on-site affordable housing, but through a tariff approach to off-site contributions.</w:t>
      </w:r>
    </w:p>
    <w:p w14:paraId="1A3CB7AD" w14:textId="77777777" w:rsidR="00131C18" w:rsidRDefault="00131C18">
      <w:pPr>
        <w:pStyle w:val="normal0"/>
        <w:jc w:val="both"/>
        <w:rPr>
          <w:rFonts w:ascii="Nunito" w:eastAsia="Nunito" w:hAnsi="Nunito" w:cs="Nunito"/>
        </w:rPr>
      </w:pPr>
    </w:p>
    <w:p w14:paraId="265F1D93" w14:textId="531B2294" w:rsidR="00131C18" w:rsidRDefault="00897CB9">
      <w:pPr>
        <w:pStyle w:val="normal0"/>
        <w:jc w:val="both"/>
        <w:rPr>
          <w:rFonts w:ascii="Nunito" w:eastAsia="Nunito" w:hAnsi="Nunito" w:cs="Nunito"/>
        </w:rPr>
      </w:pPr>
      <w:r>
        <w:rPr>
          <w:rFonts w:ascii="Nunito" w:eastAsia="Nunito" w:hAnsi="Nunito" w:cs="Nunito"/>
        </w:rPr>
        <w:t>In the non-policy text supporting</w:t>
      </w:r>
      <w:r w:rsidR="004A33FB">
        <w:rPr>
          <w:rFonts w:ascii="Nunito" w:eastAsia="Nunito" w:hAnsi="Nunito" w:cs="Nunito"/>
        </w:rPr>
        <w:t xml:space="preserve"> H2, soft language is used to suggest that boroughs are to be encouraged to create policies requiring affordable housing from sites of 10 or fewer units in their Development Plans through cash in lieu contributions. </w:t>
      </w:r>
    </w:p>
    <w:p w14:paraId="29FE4CF2" w14:textId="77777777" w:rsidR="00131C18" w:rsidRDefault="00131C18">
      <w:pPr>
        <w:pStyle w:val="normal0"/>
        <w:jc w:val="both"/>
        <w:rPr>
          <w:rFonts w:ascii="Nunito" w:eastAsia="Nunito" w:hAnsi="Nunito" w:cs="Nunito"/>
        </w:rPr>
      </w:pPr>
    </w:p>
    <w:p w14:paraId="1BDAB0C4" w14:textId="530A6460" w:rsidR="00131C18" w:rsidRDefault="004A33FB">
      <w:pPr>
        <w:pStyle w:val="normal0"/>
        <w:jc w:val="both"/>
        <w:rPr>
          <w:rFonts w:ascii="Nunito" w:eastAsia="Nunito" w:hAnsi="Nunito" w:cs="Nunito"/>
        </w:rPr>
      </w:pPr>
      <w:r>
        <w:rPr>
          <w:rFonts w:ascii="Nunito" w:eastAsia="Nunito" w:hAnsi="Nunito" w:cs="Nunito"/>
        </w:rPr>
        <w:t xml:space="preserve">Affordable Housing and Viability Supplementary Planning Guidance (2017: 2.79) notes that boroughs wishing to apply affordable housing contributions on sites with fewer than ten homes should only do so when sites remain viable. Considering the extensive critiques of viability assessments, such a position is weak considering the ability of developers to manipulate these assessments in order to avoid affordable housing contributions. </w:t>
      </w:r>
    </w:p>
    <w:p w14:paraId="2FBC024E" w14:textId="77777777" w:rsidR="00131C18" w:rsidRDefault="00131C18">
      <w:pPr>
        <w:pStyle w:val="normal0"/>
        <w:jc w:val="both"/>
        <w:rPr>
          <w:rFonts w:ascii="Nunito" w:eastAsia="Nunito" w:hAnsi="Nunito" w:cs="Nunito"/>
        </w:rPr>
      </w:pPr>
    </w:p>
    <w:p w14:paraId="5AB13F87" w14:textId="5AF9527A" w:rsidR="00131C18" w:rsidRDefault="004A33FB">
      <w:pPr>
        <w:pStyle w:val="normal0"/>
        <w:jc w:val="both"/>
        <w:rPr>
          <w:rFonts w:ascii="Nunito" w:eastAsia="Nunito" w:hAnsi="Nunito" w:cs="Nunito"/>
          <w:color w:val="121212"/>
          <w:highlight w:val="white"/>
        </w:rPr>
      </w:pPr>
      <w:r>
        <w:rPr>
          <w:rFonts w:ascii="Nunito" w:eastAsia="Nunito" w:hAnsi="Nunito" w:cs="Nunito"/>
          <w:color w:val="121212"/>
          <w:highlight w:val="white"/>
        </w:rPr>
        <w:lastRenderedPageBreak/>
        <w:t xml:space="preserve">The lack of London-wide policy regarding affordable housing on </w:t>
      </w:r>
      <w:r w:rsidR="00897CB9">
        <w:rPr>
          <w:rFonts w:ascii="Nunito" w:eastAsia="Nunito" w:hAnsi="Nunito" w:cs="Nunito"/>
          <w:color w:val="121212"/>
          <w:highlight w:val="white"/>
        </w:rPr>
        <w:t xml:space="preserve">small </w:t>
      </w:r>
      <w:r>
        <w:rPr>
          <w:rFonts w:ascii="Nunito" w:eastAsia="Nunito" w:hAnsi="Nunito" w:cs="Nunito"/>
          <w:color w:val="121212"/>
          <w:highlight w:val="white"/>
        </w:rPr>
        <w:t>sites leaves the door open for developers to quickly step in before boroughs are able to produce their own Small Site affordable housing targets (if they even do so) and could lead to a rise in property prices through speculation if affordable housing for</w:t>
      </w:r>
      <w:r w:rsidR="00897CB9">
        <w:rPr>
          <w:rFonts w:ascii="Nunito" w:eastAsia="Nunito" w:hAnsi="Nunito" w:cs="Nunito"/>
          <w:color w:val="121212"/>
          <w:highlight w:val="white"/>
        </w:rPr>
        <w:t xml:space="preserve"> small</w:t>
      </w:r>
      <w:r>
        <w:rPr>
          <w:rFonts w:ascii="Nunito" w:eastAsia="Nunito" w:hAnsi="Nunito" w:cs="Nunito"/>
          <w:color w:val="121212"/>
          <w:highlight w:val="white"/>
        </w:rPr>
        <w:t xml:space="preserve"> sites </w:t>
      </w:r>
      <w:r w:rsidR="00897CB9">
        <w:rPr>
          <w:rFonts w:ascii="Nunito" w:eastAsia="Nunito" w:hAnsi="Nunito" w:cs="Nunito"/>
          <w:color w:val="121212"/>
          <w:highlight w:val="white"/>
        </w:rPr>
        <w:t>is not</w:t>
      </w:r>
      <w:r>
        <w:rPr>
          <w:rFonts w:ascii="Nunito" w:eastAsia="Nunito" w:hAnsi="Nunito" w:cs="Nunito"/>
          <w:color w:val="121212"/>
          <w:highlight w:val="white"/>
        </w:rPr>
        <w:t xml:space="preserve"> expected to be a requirement. </w:t>
      </w:r>
    </w:p>
    <w:p w14:paraId="5CDF0C09" w14:textId="77777777" w:rsidR="00131C18" w:rsidRDefault="00131C18">
      <w:pPr>
        <w:pStyle w:val="normal0"/>
        <w:jc w:val="both"/>
        <w:rPr>
          <w:rFonts w:ascii="Nunito" w:eastAsia="Nunito" w:hAnsi="Nunito" w:cs="Nunito"/>
          <w:color w:val="121212"/>
          <w:highlight w:val="white"/>
        </w:rPr>
      </w:pPr>
    </w:p>
    <w:p w14:paraId="73DDA7FB" w14:textId="4437D5DB" w:rsidR="00131C18" w:rsidRDefault="004A33FB">
      <w:pPr>
        <w:pStyle w:val="normal0"/>
        <w:jc w:val="both"/>
        <w:rPr>
          <w:rFonts w:ascii="Nunito" w:eastAsia="Nunito" w:hAnsi="Nunito" w:cs="Nunito"/>
          <w:u w:val="single"/>
        </w:rPr>
      </w:pPr>
      <w:r>
        <w:rPr>
          <w:rFonts w:ascii="Nunito" w:eastAsia="Nunito" w:hAnsi="Nunito" w:cs="Nunito"/>
          <w:color w:val="121212"/>
          <w:highlight w:val="white"/>
        </w:rPr>
        <w:t>The draft London Plan’s stance on the impracticability and infeasibility of on-site affordable housing contributions on sites of ten units or fewer is contradicted by some borough led research. A document prepared by BNP Paribas for the London Borough of Islington called the Affordable Housing Viability Assessment (2009), reports that sites of seven or more units may be able to make an affordable housing contribution</w:t>
      </w:r>
      <w:r w:rsidR="00897CB9">
        <w:rPr>
          <w:rFonts w:ascii="Nunito" w:eastAsia="Nunito" w:hAnsi="Nunito" w:cs="Nunito"/>
          <w:color w:val="121212"/>
          <w:highlight w:val="white"/>
        </w:rPr>
        <w:t>, depending on the type of site</w:t>
      </w:r>
      <w:r>
        <w:rPr>
          <w:rFonts w:ascii="Nunito" w:eastAsia="Nunito" w:hAnsi="Nunito" w:cs="Nunito"/>
          <w:color w:val="121212"/>
          <w:highlight w:val="white"/>
        </w:rPr>
        <w:t xml:space="preserve"> and its existing use. The report concludes that in practice the viability of each individual Small Site case should be assessed on its merits, despite the resource intensity of this. A similar result was found in the Affordable Housing Viability Assessment (2008) prepared for the London Borough of Sutton. </w:t>
      </w:r>
    </w:p>
    <w:p w14:paraId="19824BE9" w14:textId="77777777" w:rsidR="00131C18" w:rsidRDefault="00131C18">
      <w:pPr>
        <w:pStyle w:val="normal0"/>
        <w:jc w:val="both"/>
        <w:rPr>
          <w:rFonts w:ascii="Nunito" w:eastAsia="Nunito" w:hAnsi="Nunito" w:cs="Nunito"/>
          <w:u w:val="single"/>
        </w:rPr>
      </w:pPr>
    </w:p>
    <w:p w14:paraId="36A6E9B6" w14:textId="77777777" w:rsidR="00131C18" w:rsidRDefault="004A33FB">
      <w:pPr>
        <w:pStyle w:val="normal0"/>
        <w:jc w:val="both"/>
        <w:rPr>
          <w:rFonts w:ascii="Nunito" w:eastAsia="Nunito" w:hAnsi="Nunito" w:cs="Nunito"/>
          <w:u w:val="single"/>
        </w:rPr>
      </w:pPr>
      <w:r>
        <w:rPr>
          <w:rFonts w:ascii="Nunito" w:eastAsia="Nunito" w:hAnsi="Nunito" w:cs="Nunito"/>
          <w:b/>
          <w:sz w:val="24"/>
          <w:szCs w:val="24"/>
          <w:u w:val="single"/>
        </w:rPr>
        <w:t>2: Communal spaces and public realm offerings of Small Sites needs protection</w:t>
      </w:r>
    </w:p>
    <w:p w14:paraId="3C60AA35" w14:textId="77777777" w:rsidR="00131C18" w:rsidRDefault="004A33FB">
      <w:pPr>
        <w:pStyle w:val="normal0"/>
        <w:jc w:val="both"/>
        <w:rPr>
          <w:rFonts w:ascii="Nunito" w:eastAsia="Nunito" w:hAnsi="Nunito" w:cs="Nunito"/>
        </w:rPr>
      </w:pPr>
      <w:r>
        <w:rPr>
          <w:rFonts w:ascii="Nunito" w:eastAsia="Nunito" w:hAnsi="Nunito" w:cs="Nunito"/>
        </w:rPr>
        <w:t xml:space="preserve">Policy H2 is unconvincing in regards to ensuring that Small Sites development do not diminish public realm and communal spaces offerings. </w:t>
      </w:r>
    </w:p>
    <w:p w14:paraId="636E8AD8" w14:textId="77777777" w:rsidR="00131C18" w:rsidRDefault="00131C18">
      <w:pPr>
        <w:pStyle w:val="normal0"/>
        <w:jc w:val="both"/>
        <w:rPr>
          <w:rFonts w:ascii="Nunito" w:eastAsia="Nunito" w:hAnsi="Nunito" w:cs="Nunito"/>
        </w:rPr>
      </w:pPr>
    </w:p>
    <w:p w14:paraId="22D16746" w14:textId="77777777" w:rsidR="00131C18" w:rsidRDefault="004A33FB">
      <w:pPr>
        <w:pStyle w:val="normal0"/>
        <w:jc w:val="both"/>
        <w:rPr>
          <w:rFonts w:ascii="Nunito" w:eastAsia="Nunito" w:hAnsi="Nunito" w:cs="Nunito"/>
        </w:rPr>
      </w:pPr>
      <w:r>
        <w:rPr>
          <w:rFonts w:ascii="Nunito" w:eastAsia="Nunito" w:hAnsi="Nunito" w:cs="Nunito"/>
        </w:rPr>
        <w:t xml:space="preserve">The IIA recommends that the Small Sites policy ‘could provide further information on communal spaces and public realm underpinning small site housing development’ (p.139). A sense of community, amenity value, social infrastructure and transport implications (e.g. active travel opportunities) are cited as relevant elements to consider regarding Small Site development. The GLA have responded explaining that borough-led area-wide design codes would deal with issues such as communal spaces within such developments, and that issues about social infrastructure and active travel are addressed in other sections of the draft London Plan. </w:t>
      </w:r>
    </w:p>
    <w:p w14:paraId="5673A3FF" w14:textId="77777777" w:rsidR="00131C18" w:rsidRDefault="00131C18">
      <w:pPr>
        <w:pStyle w:val="normal0"/>
        <w:jc w:val="both"/>
        <w:rPr>
          <w:rFonts w:ascii="Nunito" w:eastAsia="Nunito" w:hAnsi="Nunito" w:cs="Nunito"/>
        </w:rPr>
      </w:pPr>
    </w:p>
    <w:p w14:paraId="2D6756FD" w14:textId="2D1411CB" w:rsidR="00131C18" w:rsidRDefault="004A33FB">
      <w:pPr>
        <w:pStyle w:val="normal0"/>
        <w:jc w:val="both"/>
        <w:rPr>
          <w:rFonts w:ascii="Nunito" w:eastAsia="Nunito" w:hAnsi="Nunito" w:cs="Nunito"/>
        </w:rPr>
      </w:pPr>
      <w:r>
        <w:rPr>
          <w:rFonts w:ascii="Nunito" w:eastAsia="Nunito" w:hAnsi="Nunito" w:cs="Nunito"/>
        </w:rPr>
        <w:t xml:space="preserve">This justification is unsatisfactory as the policy dictates that (1) borough-led area-wide design codes are not a requirement and (2) when no such design code exists, there will be </w:t>
      </w:r>
      <w:r w:rsidR="00897CB9">
        <w:rPr>
          <w:rFonts w:ascii="Nunito" w:eastAsia="Nunito" w:hAnsi="Nunito" w:cs="Nunito"/>
        </w:rPr>
        <w:t xml:space="preserve">a </w:t>
      </w:r>
      <w:r>
        <w:rPr>
          <w:rFonts w:ascii="Nunito" w:eastAsia="Nunito" w:hAnsi="Nunito" w:cs="Nunito"/>
        </w:rPr>
        <w:t>presumption in favour of small housing development unless it can be demonstrated that the development will give an unacceptable level of harm to:</w:t>
      </w:r>
    </w:p>
    <w:p w14:paraId="7080EA38" w14:textId="77777777" w:rsidR="00131C18" w:rsidRDefault="004A33FB">
      <w:pPr>
        <w:pStyle w:val="normal0"/>
        <w:numPr>
          <w:ilvl w:val="0"/>
          <w:numId w:val="5"/>
        </w:numPr>
        <w:contextualSpacing/>
        <w:jc w:val="both"/>
        <w:rPr>
          <w:rFonts w:ascii="Nunito" w:eastAsia="Nunito" w:hAnsi="Nunito" w:cs="Nunito"/>
        </w:rPr>
      </w:pPr>
      <w:r>
        <w:rPr>
          <w:rFonts w:ascii="Nunito" w:eastAsia="Nunito" w:hAnsi="Nunito" w:cs="Nunito"/>
        </w:rPr>
        <w:t>Residential privacy</w:t>
      </w:r>
    </w:p>
    <w:p w14:paraId="1CA65D08" w14:textId="77777777" w:rsidR="00131C18" w:rsidRDefault="004A33FB">
      <w:pPr>
        <w:pStyle w:val="normal0"/>
        <w:numPr>
          <w:ilvl w:val="0"/>
          <w:numId w:val="5"/>
        </w:numPr>
        <w:contextualSpacing/>
        <w:jc w:val="both"/>
        <w:rPr>
          <w:rFonts w:ascii="Nunito" w:eastAsia="Nunito" w:hAnsi="Nunito" w:cs="Nunito"/>
        </w:rPr>
      </w:pPr>
      <w:r>
        <w:rPr>
          <w:rFonts w:ascii="Nunito" w:eastAsia="Nunito" w:hAnsi="Nunito" w:cs="Nunito"/>
        </w:rPr>
        <w:t>Designated heritage assets</w:t>
      </w:r>
    </w:p>
    <w:p w14:paraId="354BCAF5" w14:textId="77777777" w:rsidR="00131C18" w:rsidRDefault="004A33FB">
      <w:pPr>
        <w:pStyle w:val="normal0"/>
        <w:numPr>
          <w:ilvl w:val="0"/>
          <w:numId w:val="5"/>
        </w:numPr>
        <w:contextualSpacing/>
        <w:jc w:val="both"/>
        <w:rPr>
          <w:rFonts w:ascii="Nunito" w:eastAsia="Nunito" w:hAnsi="Nunito" w:cs="Nunito"/>
        </w:rPr>
      </w:pPr>
      <w:r>
        <w:rPr>
          <w:rFonts w:ascii="Nunito" w:eastAsia="Nunito" w:hAnsi="Nunito" w:cs="Nunito"/>
        </w:rPr>
        <w:t>Biodiversity</w:t>
      </w:r>
    </w:p>
    <w:p w14:paraId="37B5E4AF" w14:textId="77777777" w:rsidR="00131C18" w:rsidRDefault="004A33FB">
      <w:pPr>
        <w:pStyle w:val="normal0"/>
        <w:numPr>
          <w:ilvl w:val="0"/>
          <w:numId w:val="5"/>
        </w:numPr>
        <w:contextualSpacing/>
        <w:jc w:val="both"/>
        <w:rPr>
          <w:rFonts w:ascii="Nunito" w:eastAsia="Nunito" w:hAnsi="Nunito" w:cs="Nunito"/>
        </w:rPr>
      </w:pPr>
      <w:r>
        <w:rPr>
          <w:rFonts w:ascii="Nunito" w:eastAsia="Nunito" w:hAnsi="Nunito" w:cs="Nunito"/>
        </w:rPr>
        <w:t>A safeguarded land use that outweighs the benefits of additional housing provision.</w:t>
      </w:r>
    </w:p>
    <w:p w14:paraId="5812D295" w14:textId="49A15F16" w:rsidR="00131C18" w:rsidRDefault="004A33FB">
      <w:pPr>
        <w:pStyle w:val="normal0"/>
        <w:jc w:val="both"/>
        <w:rPr>
          <w:rFonts w:ascii="Nunito" w:eastAsia="Nunito" w:hAnsi="Nunito" w:cs="Nunito"/>
        </w:rPr>
      </w:pPr>
      <w:r>
        <w:rPr>
          <w:rFonts w:ascii="Nunito" w:eastAsia="Nunito" w:hAnsi="Nunito" w:cs="Nunito"/>
        </w:rPr>
        <w:t>It is not made clear how these exceptions could be measured. Undesignated heritage assets, such as Locally Listed Neighbourhood Assets, are often chosen by communities for their social value. The absence of their p</w:t>
      </w:r>
      <w:r w:rsidR="00897CB9">
        <w:rPr>
          <w:rFonts w:ascii="Nunito" w:eastAsia="Nunito" w:hAnsi="Nunito" w:cs="Nunito"/>
        </w:rPr>
        <w:t>rotection in Policy H2 coinciding</w:t>
      </w:r>
      <w:r>
        <w:rPr>
          <w:rFonts w:ascii="Nunito" w:eastAsia="Nunito" w:hAnsi="Nunito" w:cs="Nunito"/>
        </w:rPr>
        <w:t xml:space="preserve"> with the presumption in favour of Small Site development is therefore alarming. </w:t>
      </w:r>
    </w:p>
    <w:p w14:paraId="65258321" w14:textId="77777777" w:rsidR="00131C18" w:rsidRDefault="00131C18">
      <w:pPr>
        <w:pStyle w:val="normal0"/>
        <w:jc w:val="both"/>
        <w:rPr>
          <w:rFonts w:ascii="Nunito" w:eastAsia="Nunito" w:hAnsi="Nunito" w:cs="Nunito"/>
        </w:rPr>
      </w:pPr>
    </w:p>
    <w:p w14:paraId="6B24837E" w14:textId="2BAEEA69" w:rsidR="00131C18" w:rsidRDefault="004A33FB">
      <w:pPr>
        <w:pStyle w:val="normal0"/>
        <w:jc w:val="both"/>
        <w:rPr>
          <w:rFonts w:ascii="Nunito" w:eastAsia="Nunito" w:hAnsi="Nunito" w:cs="Nunito"/>
        </w:rPr>
      </w:pPr>
      <w:r>
        <w:rPr>
          <w:rFonts w:ascii="Nunito" w:eastAsia="Nunito" w:hAnsi="Nunito" w:cs="Nunito"/>
        </w:rPr>
        <w:t xml:space="preserve">Since Small Sites can be developed before a borough has created an area-wide design code, there is potential for developers to have an incentive to develop such sites at a pace which </w:t>
      </w:r>
      <w:r w:rsidR="00897CB9">
        <w:rPr>
          <w:rFonts w:ascii="Nunito" w:eastAsia="Nunito" w:hAnsi="Nunito" w:cs="Nunito"/>
        </w:rPr>
        <w:t>pre-empts</w:t>
      </w:r>
      <w:r>
        <w:rPr>
          <w:rFonts w:ascii="Nunito" w:eastAsia="Nunito" w:hAnsi="Nunito" w:cs="Nunito"/>
        </w:rPr>
        <w:t xml:space="preserve"> such a design code’s creation, and may lead to high density developments with little or no public realm offering, enlarging developer profit.  </w:t>
      </w:r>
    </w:p>
    <w:p w14:paraId="72D5784C" w14:textId="77777777" w:rsidR="00131C18" w:rsidRDefault="00131C18">
      <w:pPr>
        <w:pStyle w:val="normal0"/>
        <w:jc w:val="both"/>
        <w:rPr>
          <w:rFonts w:ascii="Nunito" w:eastAsia="Nunito" w:hAnsi="Nunito" w:cs="Nunito"/>
          <w:u w:val="single"/>
        </w:rPr>
      </w:pPr>
    </w:p>
    <w:p w14:paraId="027501CF" w14:textId="77777777" w:rsidR="00131C18" w:rsidRDefault="004A33FB">
      <w:pPr>
        <w:pStyle w:val="normal0"/>
        <w:jc w:val="both"/>
        <w:rPr>
          <w:rFonts w:ascii="Nunito" w:eastAsia="Nunito" w:hAnsi="Nunito" w:cs="Nunito"/>
        </w:rPr>
      </w:pPr>
      <w:r>
        <w:rPr>
          <w:rFonts w:ascii="Nunito" w:eastAsia="Nunito" w:hAnsi="Nunito" w:cs="Nunito"/>
          <w:b/>
          <w:sz w:val="24"/>
          <w:szCs w:val="24"/>
          <w:u w:val="single"/>
        </w:rPr>
        <w:lastRenderedPageBreak/>
        <w:t xml:space="preserve">3: Economics should not be the main factor driving Small Site developments. </w:t>
      </w:r>
    </w:p>
    <w:p w14:paraId="5DD321F6" w14:textId="36FB7988" w:rsidR="00131C18" w:rsidRDefault="00897CB9">
      <w:pPr>
        <w:pStyle w:val="normal0"/>
        <w:jc w:val="both"/>
        <w:rPr>
          <w:rFonts w:ascii="Nunito" w:eastAsia="Nunito" w:hAnsi="Nunito" w:cs="Nunito"/>
        </w:rPr>
      </w:pPr>
      <w:r>
        <w:rPr>
          <w:rFonts w:ascii="Nunito" w:eastAsia="Nunito" w:hAnsi="Nunito" w:cs="Nunito"/>
        </w:rPr>
        <w:t>Proposed</w:t>
      </w:r>
      <w:r w:rsidR="004A33FB">
        <w:rPr>
          <w:rFonts w:ascii="Nunito" w:eastAsia="Nunito" w:hAnsi="Nunito" w:cs="Nunito"/>
        </w:rPr>
        <w:t xml:space="preserve"> Small Sites policy does not appear to take environmental and social sustainability seriously. Economic factors bolster the justification of Small Site development, focusing on the opportunities for small to medium sized housebuilders and maintaining London’s economic competitiveness through alleviating housing pressures. </w:t>
      </w:r>
    </w:p>
    <w:p w14:paraId="07CACA51" w14:textId="77777777" w:rsidR="00131C18" w:rsidRDefault="00131C18">
      <w:pPr>
        <w:pStyle w:val="normal0"/>
        <w:jc w:val="both"/>
        <w:rPr>
          <w:rFonts w:ascii="Nunito" w:eastAsia="Nunito" w:hAnsi="Nunito" w:cs="Nunito"/>
        </w:rPr>
      </w:pPr>
    </w:p>
    <w:p w14:paraId="09C037C8" w14:textId="77777777" w:rsidR="00131C18" w:rsidRDefault="004A33FB">
      <w:pPr>
        <w:pStyle w:val="normal0"/>
        <w:jc w:val="both"/>
        <w:rPr>
          <w:rFonts w:ascii="Nunito" w:eastAsia="Nunito" w:hAnsi="Nunito" w:cs="Nunito"/>
        </w:rPr>
      </w:pPr>
      <w:r>
        <w:rPr>
          <w:rFonts w:ascii="Nunito" w:eastAsia="Nunito" w:hAnsi="Nunito" w:cs="Nunito"/>
        </w:rPr>
        <w:t xml:space="preserve">Regarding environmental sustainability, paragraph 4.2.9 (p.157) considers that the loss of biodiversity and/or green space through Small Site development will be mitigated through measures such as green roofs, off-site tree provision and landscaping that facilitates sustainable urban drainage. These three suggested measures are insufficient, doing little or nothing to maintain existing biodiversity and taking away any human-scale environmental relations that may exist at a site: roofs and off-site trees won’t provide usable green space for the neighbourhood residents. </w:t>
      </w:r>
    </w:p>
    <w:p w14:paraId="2E28A988" w14:textId="77777777" w:rsidR="00131C18" w:rsidRDefault="00131C18">
      <w:pPr>
        <w:pStyle w:val="normal0"/>
        <w:jc w:val="both"/>
        <w:rPr>
          <w:rFonts w:ascii="Nunito" w:eastAsia="Nunito" w:hAnsi="Nunito" w:cs="Nunito"/>
        </w:rPr>
      </w:pPr>
    </w:p>
    <w:p w14:paraId="68FC90E2" w14:textId="77777777" w:rsidR="00131C18" w:rsidRDefault="004A33FB">
      <w:pPr>
        <w:pStyle w:val="normal0"/>
        <w:jc w:val="both"/>
        <w:rPr>
          <w:rFonts w:ascii="Nunito" w:eastAsia="Nunito" w:hAnsi="Nunito" w:cs="Nunito"/>
          <w:b/>
          <w:sz w:val="44"/>
          <w:szCs w:val="44"/>
        </w:rPr>
      </w:pPr>
      <w:r>
        <w:rPr>
          <w:rFonts w:ascii="Nunito" w:eastAsia="Nunito" w:hAnsi="Nunito" w:cs="Nunito"/>
        </w:rPr>
        <w:t xml:space="preserve">Regarding social sustainability, Points 1 and 2 have demonstrated the current policy’s limitations regarding its weak stance on the provision of affordable housing and public realm and communal space offerings. </w:t>
      </w:r>
    </w:p>
    <w:p w14:paraId="3C4F1D12" w14:textId="77777777" w:rsidR="00131C18" w:rsidRDefault="004A33FB">
      <w:pPr>
        <w:pStyle w:val="normal0"/>
        <w:jc w:val="both"/>
        <w:rPr>
          <w:rFonts w:ascii="Nunito" w:eastAsia="Nunito" w:hAnsi="Nunito" w:cs="Nunito"/>
          <w:b/>
          <w:sz w:val="44"/>
          <w:szCs w:val="44"/>
        </w:rPr>
      </w:pPr>
      <w:r>
        <w:rPr>
          <w:rFonts w:ascii="Nunito" w:eastAsia="Nunito" w:hAnsi="Nunito" w:cs="Nunito"/>
          <w:b/>
          <w:sz w:val="44"/>
          <w:szCs w:val="44"/>
        </w:rPr>
        <w:t>Reference List</w:t>
      </w:r>
    </w:p>
    <w:p w14:paraId="421B15C1" w14:textId="687225C1" w:rsidR="00131C18" w:rsidRDefault="004A33FB">
      <w:pPr>
        <w:pStyle w:val="normal0"/>
        <w:rPr>
          <w:rFonts w:ascii="Nunito" w:eastAsia="Nunito" w:hAnsi="Nunito" w:cs="Nunito"/>
          <w:sz w:val="16"/>
          <w:szCs w:val="16"/>
        </w:rPr>
      </w:pPr>
      <w:r>
        <w:rPr>
          <w:rFonts w:ascii="Nunito" w:eastAsia="Nunito" w:hAnsi="Nunito" w:cs="Nunito"/>
          <w:sz w:val="16"/>
          <w:szCs w:val="16"/>
        </w:rPr>
        <w:t xml:space="preserve">Arup 2017. </w:t>
      </w:r>
      <w:r w:rsidR="00897CB9">
        <w:rPr>
          <w:rFonts w:ascii="Nunito" w:eastAsia="Nunito" w:hAnsi="Nunito" w:cs="Nunito"/>
          <w:sz w:val="16"/>
          <w:szCs w:val="16"/>
        </w:rPr>
        <w:t xml:space="preserve">London Plan </w:t>
      </w:r>
      <w:r>
        <w:rPr>
          <w:rFonts w:ascii="Nunito" w:eastAsia="Nunito" w:hAnsi="Nunito" w:cs="Nunito"/>
          <w:sz w:val="16"/>
          <w:szCs w:val="16"/>
        </w:rPr>
        <w:t xml:space="preserve">Integrated Impact Assessment. Greater London Authority. </w:t>
      </w:r>
    </w:p>
    <w:p w14:paraId="241E5B44" w14:textId="77777777" w:rsidR="00131C18" w:rsidRDefault="00131C18">
      <w:pPr>
        <w:pStyle w:val="normal0"/>
        <w:rPr>
          <w:rFonts w:ascii="Nunito" w:eastAsia="Nunito" w:hAnsi="Nunito" w:cs="Nunito"/>
          <w:sz w:val="16"/>
          <w:szCs w:val="16"/>
        </w:rPr>
      </w:pPr>
    </w:p>
    <w:p w14:paraId="3BA0047D" w14:textId="77777777" w:rsidR="00131C18" w:rsidRDefault="004A33FB">
      <w:pPr>
        <w:pStyle w:val="normal0"/>
        <w:rPr>
          <w:rFonts w:ascii="Nunito" w:eastAsia="Nunito" w:hAnsi="Nunito" w:cs="Nunito"/>
          <w:sz w:val="16"/>
          <w:szCs w:val="16"/>
        </w:rPr>
      </w:pPr>
      <w:r>
        <w:rPr>
          <w:rFonts w:ascii="Nunito" w:eastAsia="Nunito" w:hAnsi="Nunito" w:cs="Nunito"/>
          <w:sz w:val="16"/>
          <w:szCs w:val="16"/>
        </w:rPr>
        <w:t>BNP Paribas 2009. Affordable Housing Viability Assessment. London Borough of Islington.</w:t>
      </w:r>
    </w:p>
    <w:p w14:paraId="04D8FF83" w14:textId="77777777" w:rsidR="00131C18" w:rsidRDefault="00131C18">
      <w:pPr>
        <w:pStyle w:val="normal0"/>
        <w:rPr>
          <w:rFonts w:ascii="Nunito" w:eastAsia="Nunito" w:hAnsi="Nunito" w:cs="Nunito"/>
          <w:sz w:val="16"/>
          <w:szCs w:val="16"/>
        </w:rPr>
      </w:pPr>
    </w:p>
    <w:p w14:paraId="13CEFEBD" w14:textId="77777777" w:rsidR="00131C18" w:rsidRDefault="004A33FB">
      <w:pPr>
        <w:pStyle w:val="normal0"/>
        <w:rPr>
          <w:rFonts w:ascii="Nunito" w:eastAsia="Nunito" w:hAnsi="Nunito" w:cs="Nunito"/>
          <w:sz w:val="16"/>
          <w:szCs w:val="16"/>
        </w:rPr>
      </w:pPr>
      <w:r>
        <w:rPr>
          <w:rFonts w:ascii="Nunito" w:eastAsia="Nunito" w:hAnsi="Nunito" w:cs="Nunito"/>
          <w:sz w:val="16"/>
          <w:szCs w:val="16"/>
        </w:rPr>
        <w:t xml:space="preserve">DTZ 2008. Affordable Housing Viability Study. London Borough of Sutton. </w:t>
      </w:r>
    </w:p>
    <w:p w14:paraId="070F4A57" w14:textId="77777777" w:rsidR="00131C18" w:rsidRDefault="00131C18">
      <w:pPr>
        <w:pStyle w:val="normal0"/>
        <w:rPr>
          <w:rFonts w:ascii="Nunito" w:eastAsia="Nunito" w:hAnsi="Nunito" w:cs="Nunito"/>
          <w:sz w:val="16"/>
          <w:szCs w:val="16"/>
        </w:rPr>
      </w:pPr>
    </w:p>
    <w:p w14:paraId="70A3AF7D" w14:textId="77777777" w:rsidR="00131C18" w:rsidRDefault="004A33FB">
      <w:pPr>
        <w:pStyle w:val="normal0"/>
        <w:rPr>
          <w:rFonts w:ascii="Nunito" w:eastAsia="Nunito" w:hAnsi="Nunito" w:cs="Nunito"/>
          <w:sz w:val="16"/>
          <w:szCs w:val="16"/>
        </w:rPr>
      </w:pPr>
      <w:r>
        <w:rPr>
          <w:rFonts w:ascii="Nunito" w:eastAsia="Nunito" w:hAnsi="Nunito" w:cs="Nunito"/>
          <w:sz w:val="16"/>
          <w:szCs w:val="16"/>
        </w:rPr>
        <w:t xml:space="preserve">Mayor of London 2017. The London Plan: The Spatial Development Strategy for Greater London. Draft for Public Consultation. Greater London Authority. </w:t>
      </w:r>
    </w:p>
    <w:p w14:paraId="52903DFA" w14:textId="77777777" w:rsidR="00131C18" w:rsidRDefault="00131C18">
      <w:pPr>
        <w:pStyle w:val="normal0"/>
        <w:rPr>
          <w:rFonts w:ascii="Nunito" w:eastAsia="Nunito" w:hAnsi="Nunito" w:cs="Nunito"/>
          <w:sz w:val="16"/>
          <w:szCs w:val="16"/>
        </w:rPr>
      </w:pPr>
    </w:p>
    <w:p w14:paraId="02A68B7F" w14:textId="77777777" w:rsidR="00131C18" w:rsidRDefault="004A33FB">
      <w:pPr>
        <w:pStyle w:val="normal0"/>
        <w:rPr>
          <w:rFonts w:ascii="Nunito" w:eastAsia="Nunito" w:hAnsi="Nunito" w:cs="Nunito"/>
          <w:sz w:val="16"/>
          <w:szCs w:val="16"/>
        </w:rPr>
      </w:pPr>
      <w:r>
        <w:rPr>
          <w:rFonts w:ascii="Nunito" w:eastAsia="Nunito" w:hAnsi="Nunito" w:cs="Nunito"/>
          <w:sz w:val="16"/>
          <w:szCs w:val="16"/>
        </w:rPr>
        <w:t xml:space="preserve">Mayor of London 2017. The 2017 London Strategic Housing Market Assessment. Greater London Authority. </w:t>
      </w:r>
    </w:p>
    <w:p w14:paraId="4A423B49" w14:textId="77777777" w:rsidR="00131C18" w:rsidRDefault="00131C18">
      <w:pPr>
        <w:pStyle w:val="normal0"/>
        <w:rPr>
          <w:rFonts w:ascii="Nunito" w:eastAsia="Nunito" w:hAnsi="Nunito" w:cs="Nunito"/>
          <w:sz w:val="16"/>
          <w:szCs w:val="16"/>
        </w:rPr>
      </w:pPr>
    </w:p>
    <w:p w14:paraId="69E9498B" w14:textId="77777777" w:rsidR="00131C18" w:rsidRDefault="004A33FB">
      <w:pPr>
        <w:pStyle w:val="normal0"/>
        <w:rPr>
          <w:rFonts w:ascii="Nunito" w:eastAsia="Nunito" w:hAnsi="Nunito" w:cs="Nunito"/>
          <w:sz w:val="16"/>
          <w:szCs w:val="16"/>
        </w:rPr>
      </w:pPr>
      <w:r>
        <w:rPr>
          <w:rFonts w:ascii="Nunito" w:eastAsia="Nunito" w:hAnsi="Nunito" w:cs="Nunito"/>
          <w:sz w:val="16"/>
          <w:szCs w:val="16"/>
        </w:rPr>
        <w:t xml:space="preserve">Mayor of London 2017. The London Strategic Housing Land Availability Assessment 2017. Greater London Authority. </w:t>
      </w:r>
    </w:p>
    <w:p w14:paraId="35B74B2A" w14:textId="77777777" w:rsidR="00131C18" w:rsidRDefault="00131C18">
      <w:pPr>
        <w:pStyle w:val="normal0"/>
        <w:rPr>
          <w:rFonts w:ascii="Nunito" w:eastAsia="Nunito" w:hAnsi="Nunito" w:cs="Nunito"/>
          <w:sz w:val="16"/>
          <w:szCs w:val="16"/>
        </w:rPr>
      </w:pPr>
    </w:p>
    <w:p w14:paraId="53CB52CA" w14:textId="77777777" w:rsidR="00131C18" w:rsidRDefault="004A33FB">
      <w:pPr>
        <w:pStyle w:val="normal0"/>
        <w:rPr>
          <w:rFonts w:ascii="Nunito" w:eastAsia="Nunito" w:hAnsi="Nunito" w:cs="Nunito"/>
          <w:sz w:val="16"/>
          <w:szCs w:val="16"/>
        </w:rPr>
      </w:pPr>
      <w:r>
        <w:rPr>
          <w:rFonts w:ascii="Nunito" w:eastAsia="Nunito" w:hAnsi="Nunito" w:cs="Nunito"/>
          <w:sz w:val="16"/>
          <w:szCs w:val="16"/>
        </w:rPr>
        <w:t xml:space="preserve">Mayor of London 2017. Homes for Londoners: Affordable Housing and Viability Supplementary Planning Guidance 2017. Greater London Authority. </w:t>
      </w:r>
    </w:p>
    <w:p w14:paraId="3A33E2A1" w14:textId="77777777" w:rsidR="00131C18" w:rsidRDefault="00131C18">
      <w:pPr>
        <w:pStyle w:val="normal0"/>
        <w:rPr>
          <w:rFonts w:ascii="Nunito" w:eastAsia="Nunito" w:hAnsi="Nunito" w:cs="Nunito"/>
          <w:sz w:val="16"/>
          <w:szCs w:val="16"/>
        </w:rPr>
      </w:pPr>
    </w:p>
    <w:p w14:paraId="738A0CC2" w14:textId="77777777" w:rsidR="00131C18" w:rsidRDefault="004A33FB">
      <w:pPr>
        <w:pStyle w:val="normal0"/>
        <w:rPr>
          <w:rFonts w:ascii="Nunito" w:eastAsia="Nunito" w:hAnsi="Nunito" w:cs="Nunito"/>
          <w:sz w:val="16"/>
          <w:szCs w:val="16"/>
        </w:rPr>
      </w:pPr>
      <w:r>
        <w:rPr>
          <w:rFonts w:ascii="Nunito" w:eastAsia="Nunito" w:hAnsi="Nunito" w:cs="Nunito"/>
          <w:sz w:val="16"/>
          <w:szCs w:val="16"/>
        </w:rPr>
        <w:t xml:space="preserve">Mayor of London 2017. London Plan Annual Monitoring Report 2015/2016. Greater London Authority. </w:t>
      </w:r>
    </w:p>
    <w:p w14:paraId="12185941" w14:textId="77777777" w:rsidR="00131C18" w:rsidRDefault="00131C18">
      <w:pPr>
        <w:pStyle w:val="normal0"/>
        <w:rPr>
          <w:rFonts w:ascii="Nunito" w:eastAsia="Nunito" w:hAnsi="Nunito" w:cs="Nunito"/>
          <w:sz w:val="16"/>
          <w:szCs w:val="16"/>
        </w:rPr>
      </w:pPr>
    </w:p>
    <w:p w14:paraId="1BE84C38" w14:textId="004A8886" w:rsidR="00131C18" w:rsidRPr="00897CB9" w:rsidRDefault="004A33FB" w:rsidP="00897CB9">
      <w:pPr>
        <w:pStyle w:val="normal0"/>
        <w:rPr>
          <w:rFonts w:ascii="Nunito" w:eastAsia="Nunito" w:hAnsi="Nunito" w:cs="Nunito"/>
          <w:sz w:val="16"/>
          <w:szCs w:val="16"/>
        </w:rPr>
      </w:pPr>
      <w:r>
        <w:rPr>
          <w:rFonts w:ascii="Nunito" w:eastAsia="Nunito" w:hAnsi="Nunito" w:cs="Nunito"/>
          <w:sz w:val="16"/>
          <w:szCs w:val="16"/>
        </w:rPr>
        <w:t>Mayor of London 2013. The London Strategic Housing Land Availability Assessment 2013. Greater London Authority</w:t>
      </w:r>
    </w:p>
    <w:sectPr w:rsidR="00131C18" w:rsidRPr="00897CB9">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4D1112" w14:textId="77777777" w:rsidR="007A7126" w:rsidRDefault="007A7126">
      <w:pPr>
        <w:spacing w:line="240" w:lineRule="auto"/>
      </w:pPr>
      <w:r>
        <w:separator/>
      </w:r>
    </w:p>
  </w:endnote>
  <w:endnote w:type="continuationSeparator" w:id="0">
    <w:p w14:paraId="4182137A" w14:textId="77777777" w:rsidR="007A7126" w:rsidRDefault="007A71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w:panose1 w:val="02020603050405020304"/>
    <w:charset w:val="00"/>
    <w:family w:val="auto"/>
    <w:notTrueType/>
    <w:pitch w:val="variable"/>
    <w:sig w:usb0="00000003" w:usb1="00000000" w:usb2="00000000" w:usb3="00000000" w:csb0="00000001" w:csb1="00000000"/>
  </w:font>
  <w:font w:name="Noto Sans Symbols">
    <w:altName w:val="Athelas Bold"/>
    <w:charset w:val="00"/>
    <w:family w:val="auto"/>
    <w:pitch w:val="default"/>
  </w:font>
  <w:font w:name="Courier New">
    <w:panose1 w:val="02070309020205020404"/>
    <w:charset w:val="00"/>
    <w:family w:val="auto"/>
    <w:pitch w:val="variable"/>
    <w:sig w:usb0="E0002AFF" w:usb1="C0007843" w:usb2="00000009" w:usb3="00000000" w:csb0="000001FF" w:csb1="00000000"/>
  </w:font>
  <w:font w:name="Arial">
    <w:altName w:val="Helvetica"/>
    <w:panose1 w:val="020B0604020202020204"/>
    <w:charset w:val="00"/>
    <w:family w:val="auto"/>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Nunito">
    <w:altName w:val="Athelas Bold"/>
    <w:charset w:val="00"/>
    <w:family w:val="auto"/>
    <w:pitch w:val="default"/>
  </w:font>
  <w:font w:name="Calibri">
    <w:altName w:val="Helvetica"/>
    <w:panose1 w:val="020F050202020403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ＭＳ 明朝">
    <w:altName w:val="Optima ExtraBlack"/>
    <w:panose1 w:val="00000000000000000000"/>
    <w:charset w:val="80"/>
    <w:family w:val="roman"/>
    <w:notTrueType/>
    <w:pitch w:val="fixed"/>
    <w:sig w:usb0="00000001" w:usb1="08070000" w:usb2="00000010" w:usb3="00000000" w:csb0="00020000" w:csb1="00000000"/>
  </w:font>
  <w:font w:name="Cambria">
    <w:altName w:val="Times"/>
    <w:panose1 w:val="02040503050406030204"/>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CD6D67" w14:textId="77777777" w:rsidR="00FD45DA" w:rsidRDefault="00FD45D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2F088" w14:textId="77777777" w:rsidR="007A7126" w:rsidRDefault="007A7126">
    <w:pPr>
      <w:pStyle w:val="normal0"/>
      <w:jc w:val="right"/>
    </w:pPr>
    <w:r>
      <w:fldChar w:fldCharType="begin"/>
    </w:r>
    <w:r>
      <w:instrText>PAGE</w:instrText>
    </w:r>
    <w:r>
      <w:fldChar w:fldCharType="separate"/>
    </w:r>
    <w:r w:rsidR="00FD45DA">
      <w:rPr>
        <w:noProof/>
      </w:rPr>
      <w:t>3</w:t>
    </w:r>
    <w: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FF849B" w14:textId="77777777" w:rsidR="00FD45DA" w:rsidRDefault="00FD45D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E2BCFA" w14:textId="77777777" w:rsidR="007A7126" w:rsidRDefault="007A7126">
      <w:pPr>
        <w:spacing w:line="240" w:lineRule="auto"/>
      </w:pPr>
      <w:r>
        <w:separator/>
      </w:r>
    </w:p>
  </w:footnote>
  <w:footnote w:type="continuationSeparator" w:id="0">
    <w:p w14:paraId="2E3E4436" w14:textId="77777777" w:rsidR="007A7126" w:rsidRDefault="007A7126">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A2FDB" w14:textId="77777777" w:rsidR="00FD45DA" w:rsidRDefault="00FD45D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17ABC" w14:textId="77777777" w:rsidR="007A7126" w:rsidRDefault="007A7126">
    <w:pPr>
      <w:pStyle w:val="normal0"/>
    </w:pPr>
  </w:p>
  <w:p w14:paraId="108EF113" w14:textId="77777777" w:rsidR="00FD45DA" w:rsidRDefault="00FD45DA">
    <w:pPr>
      <w:pStyle w:val="normal0"/>
    </w:pPr>
  </w:p>
  <w:p w14:paraId="56C3134F" w14:textId="77777777" w:rsidR="00FD45DA" w:rsidRDefault="00FD45DA">
    <w:pPr>
      <w:pStyle w:val="normal0"/>
    </w:pPr>
  </w:p>
  <w:p w14:paraId="14C89A63" w14:textId="2379AD8F" w:rsidR="00FD45DA" w:rsidRPr="00FD45DA" w:rsidRDefault="00FD45DA" w:rsidP="00FD45DA">
    <w:pPr>
      <w:pStyle w:val="normal0"/>
      <w:jc w:val="center"/>
      <w:rPr>
        <w:rFonts w:ascii="Helvetica" w:hAnsi="Helvetica"/>
        <w:sz w:val="20"/>
        <w:szCs w:val="20"/>
      </w:rPr>
    </w:pPr>
    <w:bookmarkStart w:id="5" w:name="_GoBack"/>
    <w:r w:rsidRPr="00FD45DA">
      <w:rPr>
        <w:rFonts w:ascii="Helvetica" w:hAnsi="Helvetica"/>
        <w:sz w:val="20"/>
        <w:szCs w:val="20"/>
      </w:rPr>
      <w:t xml:space="preserve">Briefing Density / SHLAA / Small Sites page </w:t>
    </w:r>
    <w:r w:rsidRPr="00FD45DA">
      <w:rPr>
        <w:rStyle w:val="PageNumber"/>
        <w:rFonts w:ascii="Helvetica" w:hAnsi="Helvetica"/>
        <w:sz w:val="20"/>
        <w:szCs w:val="20"/>
      </w:rPr>
      <w:fldChar w:fldCharType="begin"/>
    </w:r>
    <w:r w:rsidRPr="00FD45DA">
      <w:rPr>
        <w:rStyle w:val="PageNumber"/>
        <w:rFonts w:ascii="Helvetica" w:hAnsi="Helvetica"/>
        <w:sz w:val="20"/>
        <w:szCs w:val="20"/>
      </w:rPr>
      <w:instrText xml:space="preserve"> PAGE </w:instrText>
    </w:r>
    <w:r w:rsidRPr="00FD45DA">
      <w:rPr>
        <w:rStyle w:val="PageNumber"/>
        <w:rFonts w:ascii="Helvetica" w:hAnsi="Helvetica"/>
        <w:sz w:val="20"/>
        <w:szCs w:val="20"/>
      </w:rPr>
      <w:fldChar w:fldCharType="separate"/>
    </w:r>
    <w:r>
      <w:rPr>
        <w:rStyle w:val="PageNumber"/>
        <w:rFonts w:ascii="Helvetica" w:hAnsi="Helvetica"/>
        <w:noProof/>
        <w:sz w:val="20"/>
        <w:szCs w:val="20"/>
      </w:rPr>
      <w:t>3</w:t>
    </w:r>
    <w:r w:rsidRPr="00FD45DA">
      <w:rPr>
        <w:rStyle w:val="PageNumber"/>
        <w:rFonts w:ascii="Helvetica" w:hAnsi="Helvetica"/>
        <w:sz w:val="20"/>
        <w:szCs w:val="20"/>
      </w:rPr>
      <w:fldChar w:fldCharType="end"/>
    </w:r>
  </w:p>
  <w:bookmarkEnd w:id="5"/>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DEFB8" w14:textId="77777777" w:rsidR="00FD45DA" w:rsidRDefault="00FD45D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72CA9"/>
    <w:multiLevelType w:val="multilevel"/>
    <w:tmpl w:val="0CAEE4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3B33194"/>
    <w:multiLevelType w:val="multilevel"/>
    <w:tmpl w:val="75F25B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5E602A4"/>
    <w:multiLevelType w:val="multilevel"/>
    <w:tmpl w:val="D550DC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01113DF"/>
    <w:multiLevelType w:val="multilevel"/>
    <w:tmpl w:val="EEDA9F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769C21CB"/>
    <w:multiLevelType w:val="multilevel"/>
    <w:tmpl w:val="410A88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31C18"/>
    <w:rsid w:val="00131C18"/>
    <w:rsid w:val="004752FE"/>
    <w:rsid w:val="004A33FB"/>
    <w:rsid w:val="00570B15"/>
    <w:rsid w:val="0064408C"/>
    <w:rsid w:val="007A7126"/>
    <w:rsid w:val="00897CB9"/>
    <w:rsid w:val="008B657D"/>
    <w:rsid w:val="00EF0FC9"/>
    <w:rsid w:val="00FD45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BD0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8B657D"/>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B657D"/>
    <w:rPr>
      <w:rFonts w:ascii="Lucida Grande" w:hAnsi="Lucida Grande" w:cs="Lucida Grande"/>
      <w:sz w:val="18"/>
      <w:szCs w:val="18"/>
    </w:rPr>
  </w:style>
  <w:style w:type="paragraph" w:styleId="Header">
    <w:name w:val="header"/>
    <w:basedOn w:val="Normal"/>
    <w:link w:val="HeaderChar"/>
    <w:uiPriority w:val="99"/>
    <w:unhideWhenUsed/>
    <w:rsid w:val="00FD45DA"/>
    <w:pPr>
      <w:tabs>
        <w:tab w:val="center" w:pos="4320"/>
        <w:tab w:val="right" w:pos="8640"/>
      </w:tabs>
      <w:spacing w:line="240" w:lineRule="auto"/>
    </w:pPr>
  </w:style>
  <w:style w:type="character" w:customStyle="1" w:styleId="HeaderChar">
    <w:name w:val="Header Char"/>
    <w:basedOn w:val="DefaultParagraphFont"/>
    <w:link w:val="Header"/>
    <w:uiPriority w:val="99"/>
    <w:rsid w:val="00FD45DA"/>
  </w:style>
  <w:style w:type="paragraph" w:styleId="Footer">
    <w:name w:val="footer"/>
    <w:basedOn w:val="Normal"/>
    <w:link w:val="FooterChar"/>
    <w:uiPriority w:val="99"/>
    <w:unhideWhenUsed/>
    <w:rsid w:val="00FD45DA"/>
    <w:pPr>
      <w:tabs>
        <w:tab w:val="center" w:pos="4320"/>
        <w:tab w:val="right" w:pos="8640"/>
      </w:tabs>
      <w:spacing w:line="240" w:lineRule="auto"/>
    </w:pPr>
  </w:style>
  <w:style w:type="character" w:customStyle="1" w:styleId="FooterChar">
    <w:name w:val="Footer Char"/>
    <w:basedOn w:val="DefaultParagraphFont"/>
    <w:link w:val="Footer"/>
    <w:uiPriority w:val="99"/>
    <w:rsid w:val="00FD45DA"/>
  </w:style>
  <w:style w:type="character" w:styleId="PageNumber">
    <w:name w:val="page number"/>
    <w:basedOn w:val="DefaultParagraphFont"/>
    <w:uiPriority w:val="99"/>
    <w:semiHidden/>
    <w:unhideWhenUsed/>
    <w:rsid w:val="00FD45D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8B657D"/>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B657D"/>
    <w:rPr>
      <w:rFonts w:ascii="Lucida Grande" w:hAnsi="Lucida Grande" w:cs="Lucida Grande"/>
      <w:sz w:val="18"/>
      <w:szCs w:val="18"/>
    </w:rPr>
  </w:style>
  <w:style w:type="paragraph" w:styleId="Header">
    <w:name w:val="header"/>
    <w:basedOn w:val="Normal"/>
    <w:link w:val="HeaderChar"/>
    <w:uiPriority w:val="99"/>
    <w:unhideWhenUsed/>
    <w:rsid w:val="00FD45DA"/>
    <w:pPr>
      <w:tabs>
        <w:tab w:val="center" w:pos="4320"/>
        <w:tab w:val="right" w:pos="8640"/>
      </w:tabs>
      <w:spacing w:line="240" w:lineRule="auto"/>
    </w:pPr>
  </w:style>
  <w:style w:type="character" w:customStyle="1" w:styleId="HeaderChar">
    <w:name w:val="Header Char"/>
    <w:basedOn w:val="DefaultParagraphFont"/>
    <w:link w:val="Header"/>
    <w:uiPriority w:val="99"/>
    <w:rsid w:val="00FD45DA"/>
  </w:style>
  <w:style w:type="paragraph" w:styleId="Footer">
    <w:name w:val="footer"/>
    <w:basedOn w:val="Normal"/>
    <w:link w:val="FooterChar"/>
    <w:uiPriority w:val="99"/>
    <w:unhideWhenUsed/>
    <w:rsid w:val="00FD45DA"/>
    <w:pPr>
      <w:tabs>
        <w:tab w:val="center" w:pos="4320"/>
        <w:tab w:val="right" w:pos="8640"/>
      </w:tabs>
      <w:spacing w:line="240" w:lineRule="auto"/>
    </w:pPr>
  </w:style>
  <w:style w:type="character" w:customStyle="1" w:styleId="FooterChar">
    <w:name w:val="Footer Char"/>
    <w:basedOn w:val="DefaultParagraphFont"/>
    <w:link w:val="Footer"/>
    <w:uiPriority w:val="99"/>
    <w:rsid w:val="00FD45DA"/>
  </w:style>
  <w:style w:type="character" w:styleId="PageNumber">
    <w:name w:val="page number"/>
    <w:basedOn w:val="DefaultParagraphFont"/>
    <w:uiPriority w:val="99"/>
    <w:semiHidden/>
    <w:unhideWhenUsed/>
    <w:rsid w:val="00FD45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theme" Target="theme/theme1.xml"/><Relationship Id="rId10" Type="http://schemas.openxmlformats.org/officeDocument/2006/relationships/hyperlink" Target="https://michaeledwards.org.uk/" TargetMode="External"/><Relationship Id="rId11" Type="http://schemas.openxmlformats.org/officeDocument/2006/relationships/hyperlink" Target="https://www.london.gov.uk/sites/default/files/london_plan_topic_paper_on_density_policy_and_details_of_research_-_2017_final.pdf" TargetMode="External"/><Relationship Id="rId12" Type="http://schemas.openxmlformats.org/officeDocument/2006/relationships/hyperlink" Target="http://www.londonfirst.co.uk/wp-content/uploads/2015/09/Redefining-Density-0915.pdf"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8</Pages>
  <Words>3363</Words>
  <Characters>18396</Characters>
  <Application>Microsoft Macintosh Word</Application>
  <DocSecurity>0</DocSecurity>
  <Lines>360</Lines>
  <Paragraphs>106</Paragraphs>
  <ScaleCrop>false</ScaleCrop>
  <Company>UCL</Company>
  <LinksUpToDate>false</LinksUpToDate>
  <CharactersWithSpaces>21653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Edwards</cp:lastModifiedBy>
  <cp:revision>7</cp:revision>
  <dcterms:created xsi:type="dcterms:W3CDTF">2018-02-23T17:27:00Z</dcterms:created>
  <dcterms:modified xsi:type="dcterms:W3CDTF">2018-02-24T04:17:00Z</dcterms:modified>
</cp:coreProperties>
</file>