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18C" w:rsidRDefault="00F9118C" w:rsidP="00F9118C">
      <w:pPr>
        <w:spacing w:after="0" w:line="240" w:lineRule="auto"/>
        <w:rPr>
          <w:b/>
          <w:sz w:val="28"/>
          <w:szCs w:val="28"/>
        </w:rPr>
      </w:pPr>
      <w:bookmarkStart w:id="0" w:name="_gjdgxs" w:colFirst="0" w:colLast="0"/>
      <w:bookmarkEnd w:id="0"/>
      <w:r>
        <w:rPr>
          <w:b/>
          <w:sz w:val="28"/>
          <w:szCs w:val="28"/>
        </w:rPr>
        <w:t xml:space="preserve">The Integrated Impact Assessment (IIA) for the draft new London Plan </w:t>
      </w:r>
    </w:p>
    <w:p w:rsidR="00F9118C" w:rsidRDefault="00F9118C" w:rsidP="00F9118C">
      <w:pPr>
        <w:spacing w:after="0" w:line="240" w:lineRule="auto"/>
        <w:rPr>
          <w:b/>
          <w:sz w:val="28"/>
          <w:szCs w:val="28"/>
        </w:rPr>
      </w:pPr>
    </w:p>
    <w:p w:rsidR="00D80CF5" w:rsidRDefault="009F2D02" w:rsidP="00F9118C">
      <w:pPr>
        <w:spacing w:after="0" w:line="240" w:lineRule="auto"/>
        <w:rPr>
          <w:b/>
        </w:rPr>
      </w:pPr>
      <w:r>
        <w:rPr>
          <w:b/>
        </w:rPr>
        <w:t>The first part of this response sets out Just Space’s understanding of the p</w:t>
      </w:r>
      <w:r w:rsidR="00D80CF5">
        <w:rPr>
          <w:b/>
        </w:rPr>
        <w:t xml:space="preserve">rocess to </w:t>
      </w:r>
      <w:r>
        <w:rPr>
          <w:b/>
        </w:rPr>
        <w:t>d</w:t>
      </w:r>
      <w:r w:rsidR="00D80CF5">
        <w:rPr>
          <w:b/>
        </w:rPr>
        <w:t>ate:</w:t>
      </w:r>
    </w:p>
    <w:p w:rsidR="009F2D02" w:rsidRDefault="009F2D02" w:rsidP="00F9118C">
      <w:pPr>
        <w:spacing w:after="0" w:line="240" w:lineRule="auto"/>
        <w:rPr>
          <w:b/>
        </w:rPr>
      </w:pPr>
    </w:p>
    <w:p w:rsidR="00F9118C" w:rsidRDefault="00F9118C" w:rsidP="00F9118C">
      <w:pPr>
        <w:spacing w:after="0" w:line="240" w:lineRule="auto"/>
      </w:pPr>
      <w:r>
        <w:rPr>
          <w:b/>
        </w:rPr>
        <w:t>The IIA process</w:t>
      </w:r>
      <w:r>
        <w:t xml:space="preserve"> is an integral part of good plan-making that identifies and reports on the likely significant effects of the London Plan and the extent to which implementation of the London Plan will achieve sustainable development.</w:t>
      </w:r>
      <w:r w:rsidR="009F2D02">
        <w:t xml:space="preserve"> </w:t>
      </w:r>
      <w:r>
        <w:t xml:space="preserve">Its aim is to help identify and assess different strategic options and help </w:t>
      </w:r>
      <w:proofErr w:type="gramStart"/>
      <w:r>
        <w:t>advise</w:t>
      </w:r>
      <w:proofErr w:type="gramEnd"/>
      <w:r>
        <w:t xml:space="preserve"> on the most sustainable solutions. As a strategic-level quantitative and qualitative assessment, it is based on broad assumptions and judgements.                                                                                       (IIA Scoping Report Feb 2017, section 3)</w:t>
      </w:r>
    </w:p>
    <w:p w:rsidR="00F9118C" w:rsidRDefault="00F9118C" w:rsidP="00F9118C">
      <w:pPr>
        <w:spacing w:after="0" w:line="240" w:lineRule="auto"/>
      </w:pPr>
      <w:r>
        <w:t xml:space="preserve"> </w:t>
      </w:r>
    </w:p>
    <w:p w:rsidR="00F9118C" w:rsidRDefault="00F9118C" w:rsidP="00F9118C">
      <w:pPr>
        <w:spacing w:after="0" w:line="240" w:lineRule="auto"/>
      </w:pPr>
      <w:r>
        <w:rPr>
          <w:b/>
        </w:rPr>
        <w:t xml:space="preserve">The IIA for the </w:t>
      </w:r>
      <w:r w:rsidR="009F2D02">
        <w:rPr>
          <w:b/>
        </w:rPr>
        <w:t>draft new London Plan</w:t>
      </w:r>
      <w:r>
        <w:rPr>
          <w:b/>
        </w:rPr>
        <w:t xml:space="preserve"> (Nov 2017) </w:t>
      </w:r>
      <w:r>
        <w:t>was prepared by Arup following the GLA’s Scoping Report (Feb 2017), published in November 2017 and is open for public consultation until March 2</w:t>
      </w:r>
      <w:r>
        <w:rPr>
          <w:vertAlign w:val="superscript"/>
        </w:rPr>
        <w:t>nd</w:t>
      </w:r>
      <w:r>
        <w:t>2018.</w:t>
      </w:r>
    </w:p>
    <w:p w:rsidR="00F9118C" w:rsidRDefault="00F9118C" w:rsidP="00F9118C">
      <w:pPr>
        <w:spacing w:after="0" w:line="240" w:lineRule="auto"/>
      </w:pPr>
      <w:r>
        <w:t xml:space="preserve">Four of the main statutory requirements have been incorporated/ integrated: </w:t>
      </w:r>
    </w:p>
    <w:p w:rsidR="00F9118C" w:rsidRDefault="00F9118C" w:rsidP="00F9118C">
      <w:pPr>
        <w:spacing w:after="0" w:line="240" w:lineRule="auto"/>
      </w:pPr>
      <w:r>
        <w:t xml:space="preserve">Strategic Environmental Assessment (including Sustainability Assessment),                                  Equality Impact Assessment, </w:t>
      </w:r>
    </w:p>
    <w:p w:rsidR="00F9118C" w:rsidRDefault="00F9118C" w:rsidP="00F9118C">
      <w:pPr>
        <w:spacing w:after="0" w:line="240" w:lineRule="auto"/>
      </w:pPr>
      <w:r>
        <w:t xml:space="preserve">Health Impact Assessment, and </w:t>
      </w:r>
    </w:p>
    <w:p w:rsidR="00F9118C" w:rsidRDefault="00F9118C" w:rsidP="00F9118C">
      <w:pPr>
        <w:spacing w:after="0" w:line="240" w:lineRule="auto"/>
      </w:pPr>
      <w:proofErr w:type="gramStart"/>
      <w:r>
        <w:t>Community Safety Impact Assessment.</w:t>
      </w:r>
      <w:proofErr w:type="gramEnd"/>
      <w:r>
        <w:t xml:space="preserve"> </w:t>
      </w:r>
    </w:p>
    <w:p w:rsidR="00F9118C" w:rsidRDefault="00F9118C" w:rsidP="00F9118C">
      <w:pPr>
        <w:spacing w:after="0" w:line="240" w:lineRule="auto"/>
      </w:pPr>
      <w:r>
        <w:t>(Habitats Regulation Assessment is published separately)</w:t>
      </w:r>
    </w:p>
    <w:p w:rsidR="00F9118C" w:rsidRDefault="00F9118C" w:rsidP="00F9118C">
      <w:pPr>
        <w:spacing w:after="0" w:line="240" w:lineRule="auto"/>
      </w:pPr>
    </w:p>
    <w:p w:rsidR="00F9118C" w:rsidRDefault="00F9118C" w:rsidP="00F9118C">
      <w:pPr>
        <w:spacing w:after="0" w:line="240" w:lineRule="auto"/>
      </w:pPr>
      <w:r>
        <w:rPr>
          <w:b/>
        </w:rPr>
        <w:t>The IIA Framework</w:t>
      </w:r>
      <w:r>
        <w:t xml:space="preserve"> has 24 IIA Objectives setting out desired directions of change. Each has several guide questions used to assess whether the </w:t>
      </w:r>
      <w:r w:rsidR="009F2D02">
        <w:t>Plan</w:t>
      </w:r>
      <w:r>
        <w:t xml:space="preserve"> will help to achieve or conflict with the IIA Objectives.                                                                                                                                                                    For example, an IIA Objective: “To make London a fair and inclusive city where every person is able to participate, reducing inequality and disadvantage and addressing the diverse needs of the population”. Will the strategic option/ policy (Guide Questions): “reduce poverty and social exclusion? Promote a culture of equality, fairness and respect for people and the environment? ….”</w:t>
      </w:r>
    </w:p>
    <w:p w:rsidR="00F9118C" w:rsidRDefault="00F9118C" w:rsidP="00F9118C">
      <w:pPr>
        <w:spacing w:after="0" w:line="240" w:lineRule="auto"/>
      </w:pPr>
      <w:r>
        <w:t>Each strategic option (chapter 1 Good Growth policies) and every policy (chapters 2 to 11) were so assessed, and the results summarised and portrayed in a series of colour coded matrices, positive to negative. In some instances, recommendations were made to the GLA to refine policies. GLA made responses.</w:t>
      </w:r>
    </w:p>
    <w:p w:rsidR="00F9118C" w:rsidRDefault="00F9118C" w:rsidP="00F9118C">
      <w:pPr>
        <w:spacing w:after="0" w:line="240" w:lineRule="auto"/>
      </w:pPr>
    </w:p>
    <w:p w:rsidR="00F9118C" w:rsidRDefault="00F9118C" w:rsidP="00F9118C">
      <w:pPr>
        <w:spacing w:after="0" w:line="240" w:lineRule="auto"/>
        <w:rPr>
          <w:b/>
        </w:rPr>
      </w:pPr>
      <w:r>
        <w:rPr>
          <w:b/>
        </w:rPr>
        <w:t>IIA Process - Stages and Opportunities for Community Involvement</w:t>
      </w:r>
    </w:p>
    <w:p w:rsidR="00F9118C" w:rsidRDefault="00F9118C" w:rsidP="00F9118C">
      <w:pPr>
        <w:spacing w:after="0" w:line="240" w:lineRule="auto"/>
        <w:rPr>
          <w:i/>
        </w:rPr>
      </w:pPr>
      <w:r>
        <w:t xml:space="preserve">Stage </w:t>
      </w:r>
      <w:proofErr w:type="gramStart"/>
      <w:r>
        <w:t>A</w:t>
      </w:r>
      <w:proofErr w:type="gramEnd"/>
      <w:r>
        <w:t xml:space="preserve"> (Scoping Report) context and objectives – </w:t>
      </w:r>
      <w:r>
        <w:rPr>
          <w:i/>
        </w:rPr>
        <w:t>some stakeholder consultation in June 2016</w:t>
      </w:r>
    </w:p>
    <w:p w:rsidR="00F9118C" w:rsidRDefault="00F9118C" w:rsidP="00F9118C">
      <w:pPr>
        <w:spacing w:after="0" w:line="240" w:lineRule="auto"/>
        <w:rPr>
          <w:i/>
        </w:rPr>
      </w:pPr>
      <w:r>
        <w:t xml:space="preserve">Stage B (Assessment) develops and refines alternatives and assesses impacts - </w:t>
      </w:r>
      <w:r>
        <w:rPr>
          <w:i/>
        </w:rPr>
        <w:t xml:space="preserve">NOT opened for public consultation </w:t>
      </w:r>
    </w:p>
    <w:p w:rsidR="00F9118C" w:rsidRDefault="00F9118C" w:rsidP="00F9118C">
      <w:pPr>
        <w:spacing w:after="0" w:line="240" w:lineRule="auto"/>
      </w:pPr>
      <w:r>
        <w:t xml:space="preserve">Stage C (IIA Report) preparation </w:t>
      </w:r>
    </w:p>
    <w:p w:rsidR="00F9118C" w:rsidRDefault="00F9118C" w:rsidP="00F9118C">
      <w:pPr>
        <w:spacing w:after="0" w:line="240" w:lineRule="auto"/>
      </w:pPr>
      <w:r>
        <w:t xml:space="preserve">Stage D (Consultation) publication of the draft revised strategy and associated IIA report - </w:t>
      </w:r>
      <w:r>
        <w:rPr>
          <w:i/>
        </w:rPr>
        <w:t>NOW</w:t>
      </w:r>
      <w:r>
        <w:t xml:space="preserve">   </w:t>
      </w:r>
    </w:p>
    <w:p w:rsidR="00F9118C" w:rsidRDefault="00F9118C" w:rsidP="00F9118C">
      <w:pPr>
        <w:spacing w:after="0" w:line="240" w:lineRule="auto"/>
      </w:pPr>
      <w:r>
        <w:t xml:space="preserve">Autumn 2018: Examination in Public – </w:t>
      </w:r>
      <w:r>
        <w:rPr>
          <w:i/>
        </w:rPr>
        <w:t>debate on IIA depends on representations made by 2</w:t>
      </w:r>
      <w:r>
        <w:rPr>
          <w:i/>
          <w:vertAlign w:val="superscript"/>
        </w:rPr>
        <w:t>nd</w:t>
      </w:r>
      <w:r>
        <w:rPr>
          <w:i/>
        </w:rPr>
        <w:t xml:space="preserve"> March</w:t>
      </w:r>
      <w:r>
        <w:t xml:space="preserve"> </w:t>
      </w:r>
    </w:p>
    <w:p w:rsidR="00F9118C" w:rsidRDefault="00F9118C" w:rsidP="00F9118C">
      <w:pPr>
        <w:spacing w:after="0" w:line="240" w:lineRule="auto"/>
      </w:pPr>
      <w:r>
        <w:t xml:space="preserve">Inspector reports to Mayor who considers to make any changes to draft new LP – </w:t>
      </w:r>
      <w:r>
        <w:rPr>
          <w:i/>
        </w:rPr>
        <w:t>not made public</w:t>
      </w:r>
    </w:p>
    <w:p w:rsidR="00F9118C" w:rsidRDefault="00F9118C" w:rsidP="00F9118C">
      <w:pPr>
        <w:spacing w:after="0" w:line="240" w:lineRule="auto"/>
      </w:pPr>
      <w:r>
        <w:t>Mayor submits draft new London Plan to Secretary of State (for 6 weeks) and, now in public, to the London Assembly for consideration.</w:t>
      </w:r>
    </w:p>
    <w:p w:rsidR="00F9118C" w:rsidRDefault="00F9118C" w:rsidP="00F9118C">
      <w:pPr>
        <w:spacing w:after="0" w:line="240" w:lineRule="auto"/>
        <w:rPr>
          <w:i/>
        </w:rPr>
      </w:pPr>
      <w:r>
        <w:t xml:space="preserve">Stage E (Monitoring) the new London Plan will be monitored throughout its life - </w:t>
      </w:r>
      <w:r>
        <w:rPr>
          <w:i/>
        </w:rPr>
        <w:t xml:space="preserve">but how community will participate in monitoring as monitoring framework will be developed after </w:t>
      </w:r>
      <w:proofErr w:type="spellStart"/>
      <w:r>
        <w:rPr>
          <w:i/>
        </w:rPr>
        <w:t>EiP</w:t>
      </w:r>
      <w:proofErr w:type="spellEnd"/>
      <w:r>
        <w:rPr>
          <w:i/>
        </w:rPr>
        <w:t>?</w:t>
      </w:r>
    </w:p>
    <w:p w:rsidR="00F9118C" w:rsidRDefault="00F9118C" w:rsidP="00F9118C">
      <w:pPr>
        <w:spacing w:after="0" w:line="240" w:lineRule="auto"/>
        <w:rPr>
          <w:i/>
        </w:rPr>
      </w:pPr>
    </w:p>
    <w:p w:rsidR="002B6D00" w:rsidRPr="002B6D00" w:rsidRDefault="00D80CF5" w:rsidP="002B6D00">
      <w:pPr>
        <w:spacing w:after="0" w:line="240" w:lineRule="auto"/>
        <w:rPr>
          <w:rFonts w:eastAsia="Times New Roman" w:cstheme="minorHAnsi"/>
          <w:lang w:eastAsia="en-GB"/>
        </w:rPr>
      </w:pPr>
      <w:r w:rsidRPr="00D80CF5">
        <w:rPr>
          <w:b/>
        </w:rPr>
        <w:t>Having regard to the above and to the critique</w:t>
      </w:r>
      <w:r>
        <w:rPr>
          <w:b/>
        </w:rPr>
        <w:t xml:space="preserve"> that follows</w:t>
      </w:r>
      <w:r w:rsidR="009F2D02">
        <w:rPr>
          <w:b/>
        </w:rPr>
        <w:t>,</w:t>
      </w:r>
      <w:r>
        <w:rPr>
          <w:b/>
        </w:rPr>
        <w:t xml:space="preserve"> Just Space </w:t>
      </w:r>
      <w:r w:rsidR="002B6D00" w:rsidRPr="002B6D00">
        <w:rPr>
          <w:rFonts w:eastAsia="Times New Roman" w:cstheme="minorHAnsi"/>
          <w:b/>
          <w:bCs/>
          <w:lang w:eastAsia="en-GB"/>
        </w:rPr>
        <w:t>consider</w:t>
      </w:r>
      <w:r>
        <w:rPr>
          <w:rFonts w:eastAsia="Times New Roman" w:cstheme="minorHAnsi"/>
          <w:b/>
          <w:bCs/>
          <w:lang w:eastAsia="en-GB"/>
        </w:rPr>
        <w:t>s</w:t>
      </w:r>
      <w:r w:rsidR="002B6D00" w:rsidRPr="002B6D00">
        <w:rPr>
          <w:rFonts w:eastAsia="Times New Roman" w:cstheme="minorHAnsi"/>
          <w:b/>
          <w:bCs/>
          <w:lang w:eastAsia="en-GB"/>
        </w:rPr>
        <w:t xml:space="preserve"> that the IIA is not fit for purpose and that substantial further work should be undertaken on it before the E</w:t>
      </w:r>
      <w:r w:rsidR="009F2D02">
        <w:rPr>
          <w:rFonts w:eastAsia="Times New Roman" w:cstheme="minorHAnsi"/>
          <w:b/>
          <w:bCs/>
          <w:lang w:eastAsia="en-GB"/>
        </w:rPr>
        <w:t>xamination in Public and puts at risk the plan-making process.</w:t>
      </w:r>
    </w:p>
    <w:p w:rsidR="002B6D00" w:rsidRPr="002B6D00" w:rsidRDefault="002B6D00" w:rsidP="002B6D00">
      <w:pPr>
        <w:spacing w:after="0" w:line="240" w:lineRule="auto"/>
        <w:rPr>
          <w:rFonts w:eastAsia="Times New Roman" w:cstheme="minorHAnsi"/>
          <w:lang w:eastAsia="en-GB"/>
        </w:rPr>
      </w:pPr>
    </w:p>
    <w:p w:rsidR="00596DAE" w:rsidRDefault="002B6D00" w:rsidP="00596DAE">
      <w:pPr>
        <w:spacing w:after="0" w:line="240" w:lineRule="auto"/>
        <w:rPr>
          <w:rFonts w:eastAsia="Times New Roman" w:cstheme="minorHAnsi"/>
          <w:lang w:eastAsia="en-GB"/>
        </w:rPr>
      </w:pPr>
      <w:r w:rsidRPr="002B6D00">
        <w:rPr>
          <w:rFonts w:eastAsia="Times New Roman" w:cstheme="minorHAnsi"/>
          <w:lang w:eastAsia="en-GB"/>
        </w:rPr>
        <w:t>We have the following grounds for viewing the IIA as unfit for purpose:</w:t>
      </w:r>
    </w:p>
    <w:p w:rsidR="00596DAE" w:rsidRDefault="00596DAE" w:rsidP="00596DAE">
      <w:pPr>
        <w:spacing w:after="0" w:line="240" w:lineRule="auto"/>
        <w:rPr>
          <w:rFonts w:eastAsia="Times New Roman" w:cstheme="minorHAnsi"/>
          <w:b/>
          <w:bCs/>
          <w:lang w:eastAsia="en-GB"/>
        </w:rPr>
      </w:pPr>
      <w:r w:rsidRPr="00596DAE">
        <w:rPr>
          <w:rFonts w:eastAsia="Times New Roman" w:cstheme="minorHAnsi"/>
          <w:b/>
          <w:bCs/>
          <w:lang w:eastAsia="en-GB"/>
        </w:rPr>
        <w:lastRenderedPageBreak/>
        <w:t>1.</w:t>
      </w:r>
      <w:r>
        <w:rPr>
          <w:rFonts w:eastAsia="Times New Roman" w:cstheme="minorHAnsi"/>
          <w:b/>
          <w:bCs/>
          <w:lang w:eastAsia="en-GB"/>
        </w:rPr>
        <w:t xml:space="preserve"> Non availability of accessible formats:</w:t>
      </w:r>
      <w:r w:rsidRPr="00596DAE">
        <w:rPr>
          <w:rFonts w:eastAsia="Times New Roman" w:cstheme="minorHAnsi"/>
          <w:b/>
          <w:bCs/>
          <w:lang w:eastAsia="en-GB"/>
        </w:rPr>
        <w:t xml:space="preserve"> </w:t>
      </w:r>
    </w:p>
    <w:p w:rsidR="0078329A" w:rsidRDefault="007F4DE8" w:rsidP="0078329A">
      <w:pPr>
        <w:pStyle w:val="NoSpacing"/>
        <w:rPr>
          <w:rFonts w:cstheme="minorHAnsi"/>
          <w:lang w:eastAsia="en-GB"/>
        </w:rPr>
      </w:pPr>
      <w:r>
        <w:rPr>
          <w:lang w:eastAsia="en-GB"/>
        </w:rPr>
        <w:t>Just Space is advised that</w:t>
      </w:r>
      <w:r w:rsidR="009F2D02">
        <w:rPr>
          <w:lang w:eastAsia="en-GB"/>
        </w:rPr>
        <w:t xml:space="preserve"> none</w:t>
      </w:r>
      <w:r w:rsidR="00596DAE" w:rsidRPr="00596DAE">
        <w:rPr>
          <w:lang w:eastAsia="en-GB"/>
        </w:rPr>
        <w:t xml:space="preserve"> of the impact assessments have an Easy Read version</w:t>
      </w:r>
      <w:r w:rsidR="009F2D02">
        <w:rPr>
          <w:lang w:eastAsia="en-GB"/>
        </w:rPr>
        <w:t>, n</w:t>
      </w:r>
      <w:r w:rsidR="00596DAE" w:rsidRPr="00596DAE">
        <w:rPr>
          <w:lang w:eastAsia="en-GB"/>
        </w:rPr>
        <w:t xml:space="preserve">o British Sign Language (BSL) or Makaton </w:t>
      </w:r>
      <w:r w:rsidR="00FD400B">
        <w:rPr>
          <w:lang w:eastAsia="en-GB"/>
        </w:rPr>
        <w:t xml:space="preserve"> </w:t>
      </w:r>
      <w:r w:rsidR="00596DAE" w:rsidRPr="00596DAE">
        <w:rPr>
          <w:lang w:eastAsia="en-GB"/>
        </w:rPr>
        <w:t xml:space="preserve">(https://www.makaton.org/ </w:t>
      </w:r>
      <w:r w:rsidR="00FD400B">
        <w:rPr>
          <w:lang w:eastAsia="en-GB"/>
        </w:rPr>
        <w:t xml:space="preserve"> </w:t>
      </w:r>
      <w:r w:rsidR="00596DAE" w:rsidRPr="00596DAE">
        <w:rPr>
          <w:lang w:eastAsia="en-GB"/>
        </w:rPr>
        <w:t>Makaton uses signs and symbols to help people communicate</w:t>
      </w:r>
      <w:r w:rsidR="009F2D02">
        <w:rPr>
          <w:lang w:eastAsia="en-GB"/>
        </w:rPr>
        <w:t xml:space="preserve">) </w:t>
      </w:r>
      <w:r w:rsidR="00596DAE" w:rsidRPr="0078329A">
        <w:rPr>
          <w:rFonts w:cstheme="minorHAnsi"/>
          <w:lang w:eastAsia="en-GB"/>
        </w:rPr>
        <w:t>versions</w:t>
      </w:r>
      <w:r w:rsidR="009F2D02">
        <w:rPr>
          <w:rFonts w:cstheme="minorHAnsi"/>
          <w:lang w:eastAsia="en-GB"/>
        </w:rPr>
        <w:t xml:space="preserve">. </w:t>
      </w:r>
      <w:r w:rsidR="00596DAE" w:rsidRPr="0078329A">
        <w:rPr>
          <w:rFonts w:cstheme="minorHAnsi"/>
          <w:lang w:eastAsia="en-GB"/>
        </w:rPr>
        <w:t xml:space="preserve">So, the consultation remains inaccessible </w:t>
      </w:r>
      <w:r w:rsidR="009F2D02">
        <w:rPr>
          <w:rFonts w:cstheme="minorHAnsi"/>
          <w:lang w:eastAsia="en-GB"/>
        </w:rPr>
        <w:t xml:space="preserve">for people who need these formats </w:t>
      </w:r>
      <w:r w:rsidR="00596DAE" w:rsidRPr="0078329A">
        <w:rPr>
          <w:rFonts w:cstheme="minorHAnsi"/>
          <w:lang w:eastAsia="en-GB"/>
        </w:rPr>
        <w:t xml:space="preserve">and </w:t>
      </w:r>
      <w:r w:rsidR="009F2D02">
        <w:rPr>
          <w:rFonts w:cstheme="minorHAnsi"/>
          <w:lang w:eastAsia="en-GB"/>
        </w:rPr>
        <w:t xml:space="preserve">could be held to be </w:t>
      </w:r>
      <w:r w:rsidR="00596DAE" w:rsidRPr="0078329A">
        <w:rPr>
          <w:rFonts w:cstheme="minorHAnsi"/>
          <w:lang w:eastAsia="en-GB"/>
        </w:rPr>
        <w:t>contrary to the Equality Act</w:t>
      </w:r>
      <w:r w:rsidR="009F2D02">
        <w:rPr>
          <w:rFonts w:cstheme="minorHAnsi"/>
          <w:lang w:eastAsia="en-GB"/>
        </w:rPr>
        <w:t>,</w:t>
      </w:r>
      <w:r w:rsidR="00596DAE" w:rsidRPr="0078329A">
        <w:rPr>
          <w:rFonts w:cstheme="minorHAnsi"/>
          <w:lang w:eastAsia="en-GB"/>
        </w:rPr>
        <w:t xml:space="preserve"> as well as the </w:t>
      </w:r>
      <w:r w:rsidR="0078329A" w:rsidRPr="0078329A">
        <w:rPr>
          <w:rFonts w:cstheme="minorHAnsi"/>
          <w:lang w:eastAsia="en-GB"/>
        </w:rPr>
        <w:t>European Convention on Human Rights, and international law (e.g. Marrakesh Treaty) and global law (especially the UN Convention on the Rights of Persons with Disabilities).</w:t>
      </w:r>
    </w:p>
    <w:p w:rsidR="007F4DE8" w:rsidRDefault="007F4DE8" w:rsidP="0078329A">
      <w:pPr>
        <w:pStyle w:val="NoSpacing"/>
        <w:rPr>
          <w:rFonts w:cstheme="minorHAnsi"/>
          <w:lang w:eastAsia="en-GB"/>
        </w:rPr>
      </w:pPr>
    </w:p>
    <w:p w:rsidR="007F4DE8" w:rsidRPr="0078329A" w:rsidRDefault="007F4DE8" w:rsidP="007F4DE8">
      <w:pPr>
        <w:pStyle w:val="NoSpacing"/>
        <w:rPr>
          <w:rFonts w:cstheme="minorHAnsi"/>
          <w:lang w:eastAsia="en-GB"/>
        </w:rPr>
      </w:pPr>
      <w:r>
        <w:rPr>
          <w:rFonts w:cstheme="minorHAnsi"/>
          <w:lang w:eastAsia="en-GB"/>
        </w:rPr>
        <w:t>Just Space</w:t>
      </w:r>
      <w:r w:rsidRPr="007F4DE8">
        <w:rPr>
          <w:rFonts w:cstheme="minorHAnsi"/>
          <w:lang w:eastAsia="en-GB"/>
        </w:rPr>
        <w:t xml:space="preserve"> ha</w:t>
      </w:r>
      <w:r w:rsidR="009F2D02">
        <w:rPr>
          <w:rFonts w:cstheme="minorHAnsi"/>
          <w:lang w:eastAsia="en-GB"/>
        </w:rPr>
        <w:t>s</w:t>
      </w:r>
      <w:r w:rsidRPr="007F4DE8">
        <w:rPr>
          <w:rFonts w:cstheme="minorHAnsi"/>
          <w:lang w:eastAsia="en-GB"/>
        </w:rPr>
        <w:t xml:space="preserve"> from time to time urged the L</w:t>
      </w:r>
      <w:r w:rsidR="009F2D02">
        <w:rPr>
          <w:rFonts w:cstheme="minorHAnsi"/>
          <w:lang w:eastAsia="en-GB"/>
        </w:rPr>
        <w:t xml:space="preserve">ondon </w:t>
      </w:r>
      <w:r w:rsidRPr="007F4DE8">
        <w:rPr>
          <w:rFonts w:cstheme="minorHAnsi"/>
          <w:lang w:eastAsia="en-GB"/>
        </w:rPr>
        <w:t>P</w:t>
      </w:r>
      <w:r w:rsidR="009F2D02">
        <w:rPr>
          <w:rFonts w:cstheme="minorHAnsi"/>
          <w:lang w:eastAsia="en-GB"/>
        </w:rPr>
        <w:t>lan</w:t>
      </w:r>
      <w:r w:rsidRPr="007F4DE8">
        <w:rPr>
          <w:rFonts w:cstheme="minorHAnsi"/>
          <w:lang w:eastAsia="en-GB"/>
        </w:rPr>
        <w:t xml:space="preserve"> team to give serious thought and resources to wide dissemination of the L</w:t>
      </w:r>
      <w:r w:rsidR="009F2D02">
        <w:rPr>
          <w:rFonts w:cstheme="minorHAnsi"/>
          <w:lang w:eastAsia="en-GB"/>
        </w:rPr>
        <w:t xml:space="preserve">ondon </w:t>
      </w:r>
      <w:r w:rsidRPr="007F4DE8">
        <w:rPr>
          <w:rFonts w:cstheme="minorHAnsi"/>
          <w:lang w:eastAsia="en-GB"/>
        </w:rPr>
        <w:t>P</w:t>
      </w:r>
      <w:r w:rsidR="009F2D02">
        <w:rPr>
          <w:rFonts w:cstheme="minorHAnsi"/>
          <w:lang w:eastAsia="en-GB"/>
        </w:rPr>
        <w:t>lan</w:t>
      </w:r>
      <w:r w:rsidRPr="007F4DE8">
        <w:rPr>
          <w:rFonts w:cstheme="minorHAnsi"/>
          <w:lang w:eastAsia="en-GB"/>
        </w:rPr>
        <w:t xml:space="preserve"> and the issues within it (and the Mayor’s strategies)</w:t>
      </w:r>
      <w:r w:rsidR="00FD400B">
        <w:rPr>
          <w:rFonts w:cstheme="minorHAnsi"/>
          <w:lang w:eastAsia="en-GB"/>
        </w:rPr>
        <w:t>; m</w:t>
      </w:r>
      <w:r w:rsidRPr="007F4DE8">
        <w:rPr>
          <w:rFonts w:cstheme="minorHAnsi"/>
          <w:lang w:eastAsia="en-GB"/>
        </w:rPr>
        <w:t>ost recently in our meetings last summer</w:t>
      </w:r>
      <w:r w:rsidR="009F2D02">
        <w:rPr>
          <w:rFonts w:cstheme="minorHAnsi"/>
          <w:lang w:eastAsia="en-GB"/>
        </w:rPr>
        <w:t>,</w:t>
      </w:r>
      <w:r w:rsidRPr="007F4DE8">
        <w:rPr>
          <w:rFonts w:cstheme="minorHAnsi"/>
          <w:lang w:eastAsia="en-GB"/>
        </w:rPr>
        <w:t xml:space="preserve"> 2</w:t>
      </w:r>
      <w:r w:rsidR="009F2D02" w:rsidRPr="009F2D02">
        <w:rPr>
          <w:rFonts w:cstheme="minorHAnsi"/>
          <w:vertAlign w:val="superscript"/>
          <w:lang w:eastAsia="en-GB"/>
        </w:rPr>
        <w:t>nd</w:t>
      </w:r>
      <w:r w:rsidRPr="007F4DE8">
        <w:rPr>
          <w:rFonts w:cstheme="minorHAnsi"/>
          <w:lang w:eastAsia="en-GB"/>
        </w:rPr>
        <w:t xml:space="preserve"> August</w:t>
      </w:r>
      <w:r w:rsidR="009F2D02">
        <w:rPr>
          <w:rFonts w:cstheme="minorHAnsi"/>
          <w:lang w:eastAsia="en-GB"/>
        </w:rPr>
        <w:t>.</w:t>
      </w:r>
      <w:r w:rsidR="00FD400B">
        <w:rPr>
          <w:rFonts w:cstheme="minorHAnsi"/>
          <w:lang w:eastAsia="en-GB"/>
        </w:rPr>
        <w:t xml:space="preserve"> </w:t>
      </w:r>
      <w:r w:rsidRPr="007F4DE8">
        <w:rPr>
          <w:rFonts w:cstheme="minorHAnsi"/>
          <w:lang w:eastAsia="en-GB"/>
        </w:rPr>
        <w:t>We spoke of video, short versions of printed / online reports</w:t>
      </w:r>
      <w:r w:rsidR="00FD400B">
        <w:rPr>
          <w:rFonts w:cstheme="minorHAnsi"/>
          <w:lang w:eastAsia="en-GB"/>
        </w:rPr>
        <w:t xml:space="preserve"> and w</w:t>
      </w:r>
      <w:r w:rsidRPr="007F4DE8">
        <w:rPr>
          <w:rFonts w:cstheme="minorHAnsi"/>
          <w:lang w:eastAsia="en-GB"/>
        </w:rPr>
        <w:t xml:space="preserve">e showed them the short version of the Abercrombie Plan of </w:t>
      </w:r>
      <w:r w:rsidR="00FD400B">
        <w:rPr>
          <w:rFonts w:cstheme="minorHAnsi"/>
          <w:lang w:eastAsia="en-GB"/>
        </w:rPr>
        <w:t xml:space="preserve">1945 published by Penguin Books, </w:t>
      </w:r>
      <w:r w:rsidRPr="007F4DE8">
        <w:rPr>
          <w:rFonts w:cstheme="minorHAnsi"/>
          <w:lang w:eastAsia="en-GB"/>
        </w:rPr>
        <w:t xml:space="preserve">Carter, E. J. and E. </w:t>
      </w:r>
      <w:proofErr w:type="spellStart"/>
      <w:r w:rsidRPr="007F4DE8">
        <w:rPr>
          <w:rFonts w:cstheme="minorHAnsi"/>
          <w:lang w:eastAsia="en-GB"/>
        </w:rPr>
        <w:t>Goldfinger</w:t>
      </w:r>
      <w:proofErr w:type="spellEnd"/>
      <w:r w:rsidRPr="007F4DE8">
        <w:rPr>
          <w:rFonts w:cstheme="minorHAnsi"/>
          <w:lang w:eastAsia="en-GB"/>
        </w:rPr>
        <w:t xml:space="preserve"> (1945) The County of London Plan explained West Drayton, Penguin</w:t>
      </w:r>
      <w:r w:rsidR="00FD400B">
        <w:rPr>
          <w:rFonts w:cstheme="minorHAnsi"/>
          <w:lang w:eastAsia="en-GB"/>
        </w:rPr>
        <w:t>. A</w:t>
      </w:r>
      <w:r w:rsidRPr="007F4DE8">
        <w:rPr>
          <w:rFonts w:cstheme="minorHAnsi"/>
          <w:lang w:eastAsia="en-GB"/>
        </w:rPr>
        <w:t xml:space="preserve">lso a case study of an Oxford initiative at making a publicly accessible version of plans </w:t>
      </w:r>
      <w:hyperlink r:id="rId6" w:history="1">
        <w:r w:rsidR="00FD400B" w:rsidRPr="00C569D7">
          <w:rPr>
            <w:rStyle w:val="Hyperlink"/>
            <w:rFonts w:cstheme="minorHAnsi"/>
            <w:lang w:eastAsia="en-GB"/>
          </w:rPr>
          <w:t>http://city-voice.org</w:t>
        </w:r>
      </w:hyperlink>
      <w:r w:rsidR="00FD400B">
        <w:rPr>
          <w:rFonts w:cstheme="minorHAnsi"/>
          <w:lang w:eastAsia="en-GB"/>
        </w:rPr>
        <w:t xml:space="preserve"> .</w:t>
      </w:r>
    </w:p>
    <w:p w:rsidR="0078329A" w:rsidRPr="0078329A" w:rsidRDefault="0078329A" w:rsidP="0078329A">
      <w:pPr>
        <w:pStyle w:val="NoSpacing"/>
        <w:rPr>
          <w:rFonts w:cstheme="minorHAnsi"/>
          <w:lang w:eastAsia="en-GB"/>
        </w:rPr>
      </w:pPr>
    </w:p>
    <w:p w:rsidR="00596DAE" w:rsidRPr="00596DAE" w:rsidRDefault="00596DAE" w:rsidP="002B6D00">
      <w:pPr>
        <w:spacing w:after="0" w:line="240" w:lineRule="auto"/>
        <w:rPr>
          <w:rFonts w:eastAsia="Times New Roman" w:cstheme="minorHAnsi"/>
          <w:bCs/>
          <w:lang w:eastAsia="en-GB"/>
        </w:rPr>
      </w:pPr>
    </w:p>
    <w:p w:rsidR="002B6D00" w:rsidRPr="002B6D00" w:rsidRDefault="00596DAE" w:rsidP="002B6D00">
      <w:pPr>
        <w:spacing w:after="0" w:line="240" w:lineRule="auto"/>
        <w:rPr>
          <w:rFonts w:eastAsia="Times New Roman" w:cstheme="minorHAnsi"/>
          <w:lang w:eastAsia="en-GB"/>
        </w:rPr>
      </w:pPr>
      <w:r>
        <w:rPr>
          <w:rFonts w:eastAsia="Times New Roman" w:cstheme="minorHAnsi"/>
          <w:b/>
          <w:bCs/>
          <w:lang w:eastAsia="en-GB"/>
        </w:rPr>
        <w:t>2</w:t>
      </w:r>
      <w:r w:rsidR="002B6D00" w:rsidRPr="002B6D00">
        <w:rPr>
          <w:rFonts w:eastAsia="Times New Roman" w:cstheme="minorHAnsi"/>
          <w:b/>
          <w:bCs/>
          <w:lang w:eastAsia="en-GB"/>
        </w:rPr>
        <w:t>.  It fails adequately to evaluate the key alternatives available to London and the London Plan Process.</w:t>
      </w:r>
    </w:p>
    <w:p w:rsidR="002B6D00" w:rsidRPr="002B6D00" w:rsidRDefault="002B6D00" w:rsidP="002B6D00">
      <w:pPr>
        <w:spacing w:after="0" w:line="240" w:lineRule="auto"/>
        <w:rPr>
          <w:rFonts w:eastAsia="Times New Roman" w:cstheme="minorHAnsi"/>
          <w:lang w:eastAsia="en-GB"/>
        </w:rPr>
      </w:pPr>
      <w:r w:rsidRPr="002B6D00">
        <w:rPr>
          <w:rFonts w:eastAsia="Times New Roman" w:cstheme="minorHAnsi"/>
          <w:lang w:eastAsia="en-GB"/>
        </w:rPr>
        <w:t xml:space="preserve">Just Space was pleased to be able to see the Scoping Study and have a number of meetings with the London Plan team, one of which also included the Arup staff member </w:t>
      </w:r>
      <w:r w:rsidR="00FD400B">
        <w:rPr>
          <w:rFonts w:eastAsia="Times New Roman" w:cstheme="minorHAnsi"/>
          <w:lang w:eastAsia="en-GB"/>
        </w:rPr>
        <w:t xml:space="preserve">undertaking </w:t>
      </w:r>
      <w:r w:rsidRPr="002B6D00">
        <w:rPr>
          <w:rFonts w:eastAsia="Times New Roman" w:cstheme="minorHAnsi"/>
          <w:lang w:eastAsia="en-GB"/>
        </w:rPr>
        <w:t>the IIA. We made strong statements about at least some of the alternatives which needed to be explored, most of which had already been drawn together by Just Space in the Community-led London Plan. That document was not just a sketch on the back of an envelope but the outcome of hundreds of people, mostly from bodies representing others, gathering in 3 conferences and a number of working parties over 2 years. It is a carefully considered alternative and should have been considered.</w:t>
      </w:r>
      <w:r w:rsidR="003157D8">
        <w:rPr>
          <w:rFonts w:eastAsia="Times New Roman" w:cstheme="minorHAnsi"/>
          <w:lang w:eastAsia="en-GB"/>
        </w:rPr>
        <w:t xml:space="preserve"> (See A</w:t>
      </w:r>
      <w:r w:rsidR="003157D8" w:rsidRPr="003157D8">
        <w:rPr>
          <w:rFonts w:eastAsia="Times New Roman" w:cstheme="minorHAnsi"/>
          <w:lang w:eastAsia="en-GB"/>
        </w:rPr>
        <w:t>ppendix: Proposal for a Community Generated Spatial Option</w:t>
      </w:r>
      <w:r w:rsidR="003157D8">
        <w:rPr>
          <w:rFonts w:eastAsia="Times New Roman" w:cstheme="minorHAnsi"/>
          <w:lang w:eastAsia="en-GB"/>
        </w:rPr>
        <w:t>)</w:t>
      </w:r>
    </w:p>
    <w:p w:rsidR="002B6D00" w:rsidRPr="002B6D00" w:rsidRDefault="002B6D00" w:rsidP="002B6D00">
      <w:pPr>
        <w:spacing w:after="0" w:line="240" w:lineRule="auto"/>
        <w:rPr>
          <w:rFonts w:eastAsia="Times New Roman" w:cstheme="minorHAnsi"/>
          <w:lang w:eastAsia="en-GB"/>
        </w:rPr>
      </w:pPr>
    </w:p>
    <w:p w:rsidR="002B6D00" w:rsidRPr="002B6D00" w:rsidRDefault="002B6D00" w:rsidP="002B6D00">
      <w:pPr>
        <w:spacing w:after="0" w:line="240" w:lineRule="auto"/>
        <w:rPr>
          <w:rFonts w:eastAsia="Times New Roman" w:cstheme="minorHAnsi"/>
          <w:lang w:eastAsia="en-GB"/>
        </w:rPr>
      </w:pPr>
      <w:r w:rsidRPr="002B6D00">
        <w:rPr>
          <w:rFonts w:eastAsia="Times New Roman" w:cstheme="minorHAnsi"/>
          <w:lang w:eastAsia="en-GB"/>
        </w:rPr>
        <w:t>The GLA team rejected this suggestion, proposing instead that the IIA would explore variants of each of the Mayor’s 6 main objectives and (separately) a number of alternative spatial strategies. We had no choice but to go along with this approach and accordingly submitted suggested wordings for the 6 objectives and a summary description of the spatial dimension of the Community-led Plan (meeting of 2 August 2017 and later exchanges). The outcome is that, in our view, key choices embedded in the London Plan have not been evaluated or evaluated adequately, including:</w:t>
      </w:r>
    </w:p>
    <w:p w:rsidR="002B6D00" w:rsidRPr="002B6D00" w:rsidRDefault="002B6D00" w:rsidP="002B6D00">
      <w:pPr>
        <w:numPr>
          <w:ilvl w:val="0"/>
          <w:numId w:val="1"/>
        </w:numPr>
        <w:spacing w:before="100" w:beforeAutospacing="1" w:after="100" w:afterAutospacing="1" w:line="240" w:lineRule="auto"/>
        <w:rPr>
          <w:rFonts w:eastAsia="Times New Roman" w:cstheme="minorHAnsi"/>
          <w:lang w:eastAsia="en-GB"/>
        </w:rPr>
      </w:pPr>
      <w:r w:rsidRPr="002B6D00">
        <w:rPr>
          <w:rFonts w:eastAsia="Times New Roman" w:cstheme="minorHAnsi"/>
          <w:lang w:eastAsia="en-GB"/>
        </w:rPr>
        <w:t>inclusion / exclusion of extensive council estate demolition</w:t>
      </w:r>
    </w:p>
    <w:p w:rsidR="002B6D00" w:rsidRPr="002B6D00" w:rsidRDefault="002B6D00" w:rsidP="002B6D00">
      <w:pPr>
        <w:numPr>
          <w:ilvl w:val="0"/>
          <w:numId w:val="1"/>
        </w:numPr>
        <w:spacing w:before="100" w:beforeAutospacing="1" w:after="100" w:afterAutospacing="1" w:line="240" w:lineRule="auto"/>
        <w:rPr>
          <w:rFonts w:eastAsia="Times New Roman" w:cstheme="minorHAnsi"/>
          <w:lang w:eastAsia="en-GB"/>
        </w:rPr>
      </w:pPr>
      <w:r w:rsidRPr="002B6D00">
        <w:rPr>
          <w:rFonts w:eastAsia="Times New Roman" w:cstheme="minorHAnsi"/>
          <w:lang w:eastAsia="en-GB"/>
        </w:rPr>
        <w:t xml:space="preserve">emphasis on increased radial transport capacity (CR2 </w:t>
      </w:r>
      <w:proofErr w:type="spellStart"/>
      <w:r w:rsidRPr="002B6D00">
        <w:rPr>
          <w:rFonts w:eastAsia="Times New Roman" w:cstheme="minorHAnsi"/>
          <w:lang w:eastAsia="en-GB"/>
        </w:rPr>
        <w:t>etc</w:t>
      </w:r>
      <w:proofErr w:type="spellEnd"/>
      <w:r w:rsidRPr="002B6D00">
        <w:rPr>
          <w:rFonts w:eastAsia="Times New Roman" w:cstheme="minorHAnsi"/>
          <w:lang w:eastAsia="en-GB"/>
        </w:rPr>
        <w:t>) versus improved suburban bus and orbital rail investment</w:t>
      </w:r>
    </w:p>
    <w:p w:rsidR="002B6D00" w:rsidRPr="002B6D00" w:rsidRDefault="002B6D00" w:rsidP="002B6D00">
      <w:pPr>
        <w:numPr>
          <w:ilvl w:val="0"/>
          <w:numId w:val="1"/>
        </w:numPr>
        <w:spacing w:before="100" w:beforeAutospacing="1" w:after="100" w:afterAutospacing="1" w:line="240" w:lineRule="auto"/>
        <w:rPr>
          <w:rFonts w:eastAsia="Times New Roman" w:cstheme="minorHAnsi"/>
          <w:lang w:eastAsia="en-GB"/>
        </w:rPr>
      </w:pPr>
      <w:r w:rsidRPr="002B6D00">
        <w:rPr>
          <w:rFonts w:eastAsia="Times New Roman" w:cstheme="minorHAnsi"/>
          <w:lang w:eastAsia="en-GB"/>
        </w:rPr>
        <w:t>implementation / deletion of Lifetime neighbourhood / Lifetime suburb concept to improve quality of life and reduce the need to travel</w:t>
      </w:r>
    </w:p>
    <w:p w:rsidR="002B6D00" w:rsidRDefault="002B6D00" w:rsidP="002B6D00">
      <w:pPr>
        <w:numPr>
          <w:ilvl w:val="0"/>
          <w:numId w:val="1"/>
        </w:numPr>
        <w:spacing w:before="100" w:beforeAutospacing="1" w:after="100" w:afterAutospacing="1" w:line="240" w:lineRule="auto"/>
        <w:rPr>
          <w:rFonts w:eastAsia="Times New Roman" w:cstheme="minorHAnsi"/>
          <w:lang w:eastAsia="en-GB"/>
        </w:rPr>
      </w:pPr>
      <w:r w:rsidRPr="002B6D00">
        <w:rPr>
          <w:rFonts w:eastAsia="Times New Roman" w:cstheme="minorHAnsi"/>
          <w:lang w:eastAsia="en-GB"/>
        </w:rPr>
        <w:t xml:space="preserve">pursuit of a substantially lower population growth trajectory as part of a national re-balancing and/or a reduction in net in-migration associated with </w:t>
      </w:r>
      <w:r w:rsidR="0078329A">
        <w:rPr>
          <w:rFonts w:eastAsia="Times New Roman" w:cstheme="minorHAnsi"/>
          <w:lang w:eastAsia="en-GB"/>
        </w:rPr>
        <w:t>Brexit</w:t>
      </w:r>
    </w:p>
    <w:p w:rsidR="00FD400B" w:rsidRDefault="0008786F" w:rsidP="00FD400B">
      <w:pPr>
        <w:spacing w:before="100" w:beforeAutospacing="1" w:after="100" w:afterAutospacing="1" w:line="240" w:lineRule="auto"/>
      </w:pPr>
      <w:r>
        <w:rPr>
          <w:rFonts w:eastAsia="Times New Roman" w:cstheme="minorHAnsi"/>
          <w:lang w:eastAsia="en-GB"/>
        </w:rPr>
        <w:t>European Commission’s guidance accompanying the EU Directive: discuss</w:t>
      </w:r>
      <w:r w:rsidR="00FD400B">
        <w:rPr>
          <w:rFonts w:eastAsia="Times New Roman" w:cstheme="minorHAnsi"/>
          <w:lang w:eastAsia="en-GB"/>
        </w:rPr>
        <w:t>es</w:t>
      </w:r>
      <w:r>
        <w:rPr>
          <w:rFonts w:eastAsia="Times New Roman" w:cstheme="minorHAnsi"/>
          <w:lang w:eastAsia="en-GB"/>
        </w:rPr>
        <w:t xml:space="preserve"> alternatives within plans (e.g. alternative policies) – ‘internally’; and different or alternative options in preparing the Plan – ‘externally’. It </w:t>
      </w:r>
      <w:r w:rsidR="00FD400B">
        <w:rPr>
          <w:rFonts w:eastAsia="Times New Roman" w:cstheme="minorHAnsi"/>
          <w:lang w:eastAsia="en-GB"/>
        </w:rPr>
        <w:t xml:space="preserve">also </w:t>
      </w:r>
      <w:r>
        <w:rPr>
          <w:rFonts w:eastAsia="Times New Roman" w:cstheme="minorHAnsi"/>
          <w:lang w:eastAsia="en-GB"/>
        </w:rPr>
        <w:t xml:space="preserve">references scenario planning for Stockholm as </w:t>
      </w:r>
      <w:r w:rsidR="00FD400B">
        <w:rPr>
          <w:rFonts w:eastAsia="Times New Roman" w:cstheme="minorHAnsi"/>
          <w:lang w:eastAsia="en-GB"/>
        </w:rPr>
        <w:t xml:space="preserve">a </w:t>
      </w:r>
      <w:r>
        <w:rPr>
          <w:rFonts w:eastAsia="Times New Roman" w:cstheme="minorHAnsi"/>
          <w:lang w:eastAsia="en-GB"/>
        </w:rPr>
        <w:t>strategic planning example.</w:t>
      </w:r>
      <w:r w:rsidR="00FD400B">
        <w:rPr>
          <w:rFonts w:eastAsia="Times New Roman" w:cstheme="minorHAnsi"/>
          <w:lang w:eastAsia="en-GB"/>
        </w:rPr>
        <w:t xml:space="preserve"> In the light of this guidance, it is doubtful that t</w:t>
      </w:r>
      <w:r w:rsidR="0078329A">
        <w:t xml:space="preserve">he high-level spatial development options tested to assess strategic land use alternatives for London that gave rise to chapter 1 Good Growth policies fulfil the requirements for ‘reasonable alternative options’. </w:t>
      </w:r>
    </w:p>
    <w:p w:rsidR="0078329A" w:rsidRDefault="0078329A" w:rsidP="00FD400B">
      <w:pPr>
        <w:spacing w:before="100" w:beforeAutospacing="1" w:after="100" w:afterAutospacing="1" w:line="240" w:lineRule="auto"/>
      </w:pPr>
      <w:r>
        <w:t xml:space="preserve">It is relevant to observe that ODPM guidance* (Appendix 6, p69) on developing and </w:t>
      </w:r>
      <w:proofErr w:type="spellStart"/>
      <w:r>
        <w:t>assessing</w:t>
      </w:r>
      <w:proofErr w:type="spellEnd"/>
      <w:r>
        <w:t xml:space="preserve"> alternatives states: “Stakeholders may usefully be involved in the generation and assessment of both strategic and more detailed alternatives through consultation. Demonstrating that there are choices to be made is an effective way of engaging stakeholders in the process.”    </w:t>
      </w:r>
    </w:p>
    <w:p w:rsidR="002B6D00" w:rsidRPr="002B6D00" w:rsidRDefault="00596DAE" w:rsidP="002B6D00">
      <w:pPr>
        <w:spacing w:after="0" w:line="240" w:lineRule="auto"/>
        <w:rPr>
          <w:rFonts w:eastAsia="Times New Roman" w:cstheme="minorHAnsi"/>
          <w:lang w:eastAsia="en-GB"/>
        </w:rPr>
      </w:pPr>
      <w:r>
        <w:rPr>
          <w:rFonts w:eastAsia="Times New Roman" w:cstheme="minorHAnsi"/>
          <w:b/>
          <w:bCs/>
          <w:lang w:eastAsia="en-GB"/>
        </w:rPr>
        <w:t>3</w:t>
      </w:r>
      <w:r w:rsidR="002B6D00" w:rsidRPr="002B6D00">
        <w:rPr>
          <w:rFonts w:eastAsia="Times New Roman" w:cstheme="minorHAnsi"/>
          <w:b/>
          <w:bCs/>
          <w:lang w:eastAsia="en-GB"/>
        </w:rPr>
        <w:t>. The timing of the IIA prevented it from genuinely informing the gradual evolution of the Plan</w:t>
      </w:r>
    </w:p>
    <w:p w:rsidR="002B6D00" w:rsidRDefault="002B6D00" w:rsidP="002B6D00">
      <w:pPr>
        <w:spacing w:after="0" w:line="240" w:lineRule="auto"/>
        <w:rPr>
          <w:rFonts w:eastAsia="Times New Roman" w:cstheme="minorHAnsi"/>
          <w:lang w:eastAsia="en-GB"/>
        </w:rPr>
      </w:pPr>
      <w:r w:rsidRPr="002B6D00">
        <w:rPr>
          <w:rFonts w:eastAsia="Times New Roman" w:cstheme="minorHAnsi"/>
          <w:lang w:eastAsia="en-GB"/>
        </w:rPr>
        <w:t>The Scoping Report was issued in February 2017 by which time many of the key ide</w:t>
      </w:r>
      <w:r w:rsidR="00883254">
        <w:rPr>
          <w:rFonts w:eastAsia="Times New Roman" w:cstheme="minorHAnsi"/>
          <w:lang w:eastAsia="en-GB"/>
        </w:rPr>
        <w:t>a</w:t>
      </w:r>
      <w:r w:rsidRPr="002B6D00">
        <w:rPr>
          <w:rFonts w:eastAsia="Times New Roman" w:cstheme="minorHAnsi"/>
          <w:lang w:eastAsia="en-GB"/>
        </w:rPr>
        <w:t>s in the new London Plan had already crystallised and become embedded in the embryonic Plan. Many had been embedded in the London Infrastructure Plan 2050 issued in 2014. Discussions were still going on with us in August 2017, by which time the draft Plan must have been nearly finished. It is not credible that the findings of early rounds of IIA analysis could have fed in to formative stages of the London Plan. It</w:t>
      </w:r>
      <w:r w:rsidR="00FD400B">
        <w:rPr>
          <w:rFonts w:eastAsia="Times New Roman" w:cstheme="minorHAnsi"/>
          <w:lang w:eastAsia="en-GB"/>
        </w:rPr>
        <w:t xml:space="preserve"> could be held to be an exercise in</w:t>
      </w:r>
      <w:r w:rsidRPr="002B6D00">
        <w:rPr>
          <w:rFonts w:eastAsia="Times New Roman" w:cstheme="minorHAnsi"/>
          <w:lang w:eastAsia="en-GB"/>
        </w:rPr>
        <w:t xml:space="preserve"> box-ticking</w:t>
      </w:r>
      <w:r w:rsidR="00FD400B">
        <w:rPr>
          <w:rFonts w:eastAsia="Times New Roman" w:cstheme="minorHAnsi"/>
          <w:lang w:eastAsia="en-GB"/>
        </w:rPr>
        <w:t>.</w:t>
      </w:r>
    </w:p>
    <w:p w:rsidR="000C440F" w:rsidRDefault="000C440F" w:rsidP="002B6D00">
      <w:pPr>
        <w:spacing w:after="0" w:line="240" w:lineRule="auto"/>
        <w:rPr>
          <w:rFonts w:eastAsia="Times New Roman" w:cstheme="minorHAnsi"/>
          <w:lang w:eastAsia="en-GB"/>
        </w:rPr>
      </w:pPr>
    </w:p>
    <w:p w:rsidR="000C440F" w:rsidRDefault="000C440F" w:rsidP="000C440F">
      <w:pPr>
        <w:spacing w:after="0" w:line="240" w:lineRule="auto"/>
      </w:pPr>
      <w:r>
        <w:t xml:space="preserve">Close reading of still relevant Government Guidance* and the EU Directive for assessments has generated Just Space analysis that the required and recommended involvement of the public should have occurred at the early formative stages. This is one of the basic requirements for a fair consultation endorsed by the Supreme Court in its Moseley case judgement of 29 Oct 2014**. </w:t>
      </w:r>
    </w:p>
    <w:p w:rsidR="000C440F" w:rsidRDefault="000C440F" w:rsidP="000C440F">
      <w:pPr>
        <w:spacing w:after="0" w:line="240" w:lineRule="auto"/>
      </w:pPr>
      <w:r>
        <w:t xml:space="preserve">The IIA is now at Stage D and no known public consultation has happened at Stages B and C. </w:t>
      </w:r>
    </w:p>
    <w:p w:rsidR="003157D8" w:rsidRDefault="000C440F" w:rsidP="003157D8">
      <w:pPr>
        <w:spacing w:after="0" w:line="240" w:lineRule="auto"/>
      </w:pPr>
      <w:r>
        <w:t xml:space="preserve">The ODPM guidance* on p10 applying EU Directive Article 6.1 &amp; 6.2 explains that the public shall be given an early and effective opportunity.… to express their opinion on the drafts… </w:t>
      </w:r>
      <w:r>
        <w:rPr>
          <w:b/>
        </w:rPr>
        <w:t>at both Stages B and D</w:t>
      </w:r>
      <w:r>
        <w:t>. The public were not given this opportunity at Stage B</w:t>
      </w:r>
      <w:r w:rsidR="003157D8">
        <w:t>.</w:t>
      </w:r>
      <w:r w:rsidR="003157D8">
        <w:t xml:space="preserve"> (See </w:t>
      </w:r>
      <w:r w:rsidR="003157D8">
        <w:t xml:space="preserve">Appendix: </w:t>
      </w:r>
      <w:r w:rsidR="003157D8">
        <w:t xml:space="preserve">Just Space </w:t>
      </w:r>
      <w:r w:rsidR="003157D8">
        <w:t>A</w:t>
      </w:r>
      <w:r w:rsidR="003157D8">
        <w:t xml:space="preserve">nalysis of </w:t>
      </w:r>
      <w:r w:rsidR="003157D8">
        <w:t>G</w:t>
      </w:r>
      <w:r w:rsidR="003157D8">
        <w:t>uidance</w:t>
      </w:r>
      <w:r w:rsidR="003157D8">
        <w:t>)</w:t>
      </w:r>
    </w:p>
    <w:p w:rsidR="003157D8" w:rsidRDefault="003157D8" w:rsidP="003157D8">
      <w:pPr>
        <w:spacing w:after="0" w:line="240" w:lineRule="auto"/>
      </w:pPr>
    </w:p>
    <w:p w:rsidR="000C440F" w:rsidRDefault="000C440F" w:rsidP="000C440F">
      <w:pPr>
        <w:spacing w:after="0" w:line="240" w:lineRule="auto"/>
      </w:pPr>
      <w:r>
        <w:t>It c</w:t>
      </w:r>
      <w:r w:rsidR="003157D8">
        <w:t>an</w:t>
      </w:r>
      <w:r>
        <w:t xml:space="preserve"> be concluded that the GLA has not acted according to government guidance and EU Directive transposed into UK law. This would put at risk the plan-making process.</w:t>
      </w:r>
    </w:p>
    <w:p w:rsidR="000C440F" w:rsidRDefault="000C440F" w:rsidP="000C440F">
      <w:pPr>
        <w:spacing w:after="0" w:line="240" w:lineRule="auto"/>
      </w:pPr>
    </w:p>
    <w:p w:rsidR="000C440F" w:rsidRDefault="000C440F" w:rsidP="000C440F">
      <w:pPr>
        <w:spacing w:after="0" w:line="240" w:lineRule="auto"/>
      </w:pPr>
      <w:r>
        <w:t>*Sustainability Appraisal of Regional Spatial Strategies and Local Development Frameworks (ODPM 2005)</w:t>
      </w:r>
    </w:p>
    <w:p w:rsidR="000C440F" w:rsidRDefault="000C440F" w:rsidP="000C440F">
      <w:pPr>
        <w:spacing w:after="0" w:line="240" w:lineRule="auto"/>
      </w:pPr>
    </w:p>
    <w:p w:rsidR="000C440F" w:rsidRDefault="000C440F" w:rsidP="000C440F">
      <w:pPr>
        <w:spacing w:after="0" w:line="240" w:lineRule="auto"/>
      </w:pPr>
      <w:r>
        <w:t xml:space="preserve">** </w:t>
      </w:r>
      <w:hyperlink r:id="rId7">
        <w:r>
          <w:rPr>
            <w:color w:val="0000FF"/>
            <w:u w:val="single"/>
          </w:rPr>
          <w:t>http://www.bailii.org/uk/cases/UKSC/2014/56.html</w:t>
        </w:r>
      </w:hyperlink>
      <w:r>
        <w:t xml:space="preserve"> </w:t>
      </w:r>
    </w:p>
    <w:p w:rsidR="000C440F" w:rsidRDefault="000C440F" w:rsidP="000C440F">
      <w:pPr>
        <w:spacing w:after="0" w:line="240" w:lineRule="auto"/>
      </w:pPr>
    </w:p>
    <w:p w:rsidR="002B6D00" w:rsidRPr="002B6D00" w:rsidRDefault="00596DAE" w:rsidP="002B6D00">
      <w:pPr>
        <w:spacing w:after="0" w:line="240" w:lineRule="auto"/>
        <w:rPr>
          <w:rFonts w:eastAsia="Times New Roman" w:cstheme="minorHAnsi"/>
          <w:lang w:eastAsia="en-GB"/>
        </w:rPr>
      </w:pPr>
      <w:r>
        <w:rPr>
          <w:rFonts w:eastAsia="Times New Roman" w:cstheme="minorHAnsi"/>
          <w:b/>
          <w:bCs/>
          <w:lang w:eastAsia="en-GB"/>
        </w:rPr>
        <w:t>4</w:t>
      </w:r>
      <w:r w:rsidR="002B6D00" w:rsidRPr="002B6D00">
        <w:rPr>
          <w:rFonts w:eastAsia="Times New Roman" w:cstheme="minorHAnsi"/>
          <w:b/>
          <w:bCs/>
          <w:lang w:eastAsia="en-GB"/>
        </w:rPr>
        <w:t>. The handling of the analysis is deficient in crucial respects.</w:t>
      </w:r>
    </w:p>
    <w:p w:rsidR="002B6D00" w:rsidRPr="002B6D00" w:rsidRDefault="002B6D00" w:rsidP="002B6D00">
      <w:pPr>
        <w:spacing w:after="0" w:line="240" w:lineRule="auto"/>
        <w:rPr>
          <w:rFonts w:eastAsia="Times New Roman" w:cstheme="minorHAnsi"/>
          <w:lang w:eastAsia="en-GB"/>
        </w:rPr>
      </w:pPr>
      <w:r w:rsidRPr="002B6D00">
        <w:rPr>
          <w:rFonts w:eastAsia="Times New Roman" w:cstheme="minorHAnsi"/>
          <w:lang w:eastAsia="en-GB"/>
        </w:rPr>
        <w:t>We have not worked through every page in detail but wish to draw attention to key instances where the IIA is seriously deficient:</w:t>
      </w:r>
    </w:p>
    <w:p w:rsidR="002B6D00" w:rsidRPr="002B6D00" w:rsidRDefault="002B6D00" w:rsidP="002B6D00">
      <w:pPr>
        <w:spacing w:after="0" w:line="240" w:lineRule="auto"/>
        <w:rPr>
          <w:rFonts w:eastAsia="Times New Roman" w:cstheme="minorHAnsi"/>
          <w:lang w:eastAsia="en-GB"/>
        </w:rPr>
      </w:pPr>
    </w:p>
    <w:p w:rsidR="007F4DE8" w:rsidRDefault="007F4DE8" w:rsidP="002B6D00">
      <w:pPr>
        <w:spacing w:after="0" w:line="240" w:lineRule="auto"/>
        <w:rPr>
          <w:rFonts w:eastAsia="Times New Roman" w:cstheme="minorHAnsi"/>
          <w:lang w:eastAsia="en-GB"/>
        </w:rPr>
      </w:pPr>
      <w:r>
        <w:rPr>
          <w:rFonts w:eastAsia="Times New Roman" w:cstheme="minorHAnsi"/>
          <w:lang w:eastAsia="en-GB"/>
        </w:rPr>
        <w:t xml:space="preserve">4.1 </w:t>
      </w:r>
      <w:r w:rsidRPr="007F4DE8">
        <w:rPr>
          <w:rFonts w:eastAsia="Times New Roman" w:cstheme="minorHAnsi"/>
          <w:b/>
          <w:lang w:eastAsia="en-GB"/>
        </w:rPr>
        <w:t>P</w:t>
      </w:r>
      <w:r w:rsidR="00734689">
        <w:rPr>
          <w:rFonts w:eastAsia="Times New Roman" w:cstheme="minorHAnsi"/>
          <w:b/>
          <w:lang w:eastAsia="en-GB"/>
        </w:rPr>
        <w:t>o</w:t>
      </w:r>
      <w:r w:rsidRPr="007F4DE8">
        <w:rPr>
          <w:rFonts w:eastAsia="Times New Roman" w:cstheme="minorHAnsi"/>
          <w:b/>
          <w:lang w:eastAsia="en-GB"/>
        </w:rPr>
        <w:t>rtrayal of analysis.</w:t>
      </w:r>
    </w:p>
    <w:p w:rsidR="007F4DE8" w:rsidRDefault="00F9118C" w:rsidP="002B6D00">
      <w:pPr>
        <w:spacing w:after="0" w:line="240" w:lineRule="auto"/>
        <w:rPr>
          <w:rFonts w:eastAsia="Times New Roman" w:cstheme="minorHAnsi"/>
          <w:lang w:eastAsia="en-GB"/>
        </w:rPr>
      </w:pPr>
      <w:r>
        <w:t>The numerous results are complex compilations, yet are presented in a basic, simplistic form that does not reveal the underlying assumptions and judgements, synergies and cross-cutting or multiplier impacts</w:t>
      </w:r>
      <w:r w:rsidR="00D80CF5">
        <w:t>.</w:t>
      </w:r>
      <w:r w:rsidR="00FD400B">
        <w:t xml:space="preserve"> </w:t>
      </w:r>
      <w:r w:rsidR="007F4DE8" w:rsidRPr="007F4DE8">
        <w:rPr>
          <w:rFonts w:eastAsia="Times New Roman" w:cstheme="minorHAnsi"/>
          <w:lang w:eastAsia="en-GB"/>
        </w:rPr>
        <w:t>The analysis in th</w:t>
      </w:r>
      <w:r w:rsidR="00FD400B">
        <w:rPr>
          <w:rFonts w:eastAsia="Times New Roman" w:cstheme="minorHAnsi"/>
          <w:lang w:eastAsia="en-GB"/>
        </w:rPr>
        <w:t>e</w:t>
      </w:r>
      <w:r w:rsidR="007F4DE8" w:rsidRPr="007F4DE8">
        <w:rPr>
          <w:rFonts w:eastAsia="Times New Roman" w:cstheme="minorHAnsi"/>
          <w:lang w:eastAsia="en-GB"/>
        </w:rPr>
        <w:t xml:space="preserve"> IIA Report is too generalised. It writes of environmental and health issues in overly general and vague terms, obscuring the complexities and specific health issues/needs of diverse groups</w:t>
      </w:r>
      <w:r w:rsidR="00FD400B">
        <w:rPr>
          <w:rFonts w:eastAsia="Times New Roman" w:cstheme="minorHAnsi"/>
          <w:lang w:eastAsia="en-GB"/>
        </w:rPr>
        <w:t xml:space="preserve">. </w:t>
      </w:r>
      <w:r w:rsidR="00D80CF5">
        <w:rPr>
          <w:rFonts w:eastAsia="Times New Roman" w:cstheme="minorHAnsi"/>
          <w:lang w:eastAsia="en-GB"/>
        </w:rPr>
        <w:t xml:space="preserve"> Samples of the </w:t>
      </w:r>
      <w:r w:rsidR="00FD400B">
        <w:rPr>
          <w:rFonts w:eastAsia="Times New Roman" w:cstheme="minorHAnsi"/>
          <w:lang w:eastAsia="en-GB"/>
        </w:rPr>
        <w:t>matrices</w:t>
      </w:r>
      <w:r w:rsidR="00D80CF5">
        <w:rPr>
          <w:rFonts w:eastAsia="Times New Roman" w:cstheme="minorHAnsi"/>
          <w:lang w:eastAsia="en-GB"/>
        </w:rPr>
        <w:t xml:space="preserve"> are attached.</w:t>
      </w:r>
    </w:p>
    <w:p w:rsidR="007F4DE8" w:rsidRDefault="007F4DE8" w:rsidP="002B6D00">
      <w:pPr>
        <w:spacing w:after="0" w:line="240" w:lineRule="auto"/>
        <w:rPr>
          <w:rFonts w:eastAsia="Times New Roman" w:cstheme="minorHAnsi"/>
          <w:lang w:eastAsia="en-GB"/>
        </w:rPr>
      </w:pPr>
    </w:p>
    <w:p w:rsidR="00734689" w:rsidRDefault="00734689" w:rsidP="002B6D00">
      <w:pPr>
        <w:spacing w:after="0" w:line="240" w:lineRule="auto"/>
        <w:rPr>
          <w:rFonts w:eastAsia="Times New Roman" w:cstheme="minorHAnsi"/>
          <w:b/>
          <w:lang w:eastAsia="en-GB"/>
        </w:rPr>
      </w:pPr>
      <w:r w:rsidRPr="00734689">
        <w:rPr>
          <w:rFonts w:eastAsia="Times New Roman" w:cstheme="minorHAnsi"/>
          <w:b/>
          <w:lang w:eastAsia="en-GB"/>
        </w:rPr>
        <w:t>4.2</w:t>
      </w:r>
      <w:r w:rsidR="00FD400B">
        <w:rPr>
          <w:rFonts w:eastAsia="Times New Roman" w:cstheme="minorHAnsi"/>
          <w:b/>
          <w:lang w:eastAsia="en-GB"/>
        </w:rPr>
        <w:t xml:space="preserve"> </w:t>
      </w:r>
      <w:r w:rsidRPr="00734689">
        <w:rPr>
          <w:rFonts w:eastAsia="Times New Roman" w:cstheme="minorHAnsi"/>
          <w:b/>
          <w:lang w:eastAsia="en-GB"/>
        </w:rPr>
        <w:t>Under representation of equalities or health in objectives/guide questions</w:t>
      </w:r>
    </w:p>
    <w:p w:rsidR="00FA6BDB" w:rsidRDefault="00F9118C" w:rsidP="00F9118C">
      <w:pPr>
        <w:spacing w:after="0" w:line="240" w:lineRule="auto"/>
      </w:pPr>
      <w:r>
        <w:t xml:space="preserve">Guide questions can lack rigour and penetration in the interrogation of policy, e.g. will it reduce poverty and social exclusion… will it manage existing flood risks appropriately and avoid new flood risks… will it help to acknowledge monetary value to natural capital of London?    </w:t>
      </w:r>
    </w:p>
    <w:p w:rsidR="00F9118C" w:rsidRDefault="00FA6BDB" w:rsidP="00F9118C">
      <w:pPr>
        <w:spacing w:after="0" w:line="240" w:lineRule="auto"/>
      </w:pPr>
      <w:r>
        <w:t>A</w:t>
      </w:r>
      <w:r>
        <w:t>ssess</w:t>
      </w:r>
      <w:r w:rsidR="00FD400B">
        <w:t>ing</w:t>
      </w:r>
      <w:r>
        <w:t xml:space="preserve"> policy against ‘objectives’ which are high level, often “mother and apple pie”; they are segmented, not integrated with consideration of inter-relationships/ interdependencies</w:t>
      </w:r>
    </w:p>
    <w:p w:rsidR="00F9118C" w:rsidRDefault="00F9118C" w:rsidP="002B6D00">
      <w:pPr>
        <w:spacing w:after="0" w:line="240" w:lineRule="auto"/>
        <w:rPr>
          <w:rFonts w:eastAsia="Times New Roman" w:cstheme="minorHAnsi"/>
          <w:b/>
          <w:lang w:eastAsia="en-GB"/>
        </w:rPr>
      </w:pPr>
    </w:p>
    <w:p w:rsidR="00734689" w:rsidRDefault="00FD400B" w:rsidP="002B6D00">
      <w:pPr>
        <w:spacing w:after="0" w:line="240" w:lineRule="auto"/>
        <w:rPr>
          <w:rFonts w:eastAsia="Times New Roman" w:cstheme="minorHAnsi"/>
          <w:lang w:eastAsia="en-GB"/>
        </w:rPr>
      </w:pPr>
      <w:r>
        <w:rPr>
          <w:rFonts w:eastAsia="Times New Roman" w:cstheme="minorHAnsi"/>
          <w:lang w:eastAsia="en-GB"/>
        </w:rPr>
        <w:t>T</w:t>
      </w:r>
      <w:r w:rsidR="00734689" w:rsidRPr="00734689">
        <w:rPr>
          <w:rFonts w:eastAsia="Times New Roman" w:cstheme="minorHAnsi"/>
          <w:lang w:eastAsia="en-GB"/>
        </w:rPr>
        <w:t>he IIA is required to inc</w:t>
      </w:r>
      <w:r>
        <w:rPr>
          <w:rFonts w:eastAsia="Times New Roman" w:cstheme="minorHAnsi"/>
          <w:lang w:eastAsia="en-GB"/>
        </w:rPr>
        <w:t>l</w:t>
      </w:r>
      <w:r w:rsidR="00734689" w:rsidRPr="00734689">
        <w:rPr>
          <w:rFonts w:eastAsia="Times New Roman" w:cstheme="minorHAnsi"/>
          <w:lang w:eastAsia="en-GB"/>
        </w:rPr>
        <w:t>ude the preparation of a health inequalities strategy</w:t>
      </w:r>
      <w:r>
        <w:rPr>
          <w:rFonts w:eastAsia="Times New Roman" w:cstheme="minorHAnsi"/>
          <w:lang w:eastAsia="en-GB"/>
        </w:rPr>
        <w:t xml:space="preserve"> tackling</w:t>
      </w:r>
      <w:r w:rsidR="00734689" w:rsidRPr="00734689">
        <w:rPr>
          <w:rFonts w:eastAsia="Times New Roman" w:cstheme="minorHAnsi"/>
          <w:lang w:eastAsia="en-GB"/>
        </w:rPr>
        <w:t xml:space="preserve"> health inequalities. Many of the objectives and guiding questions for each topic do not address each of these such as equalities or health despite the attempt to colour code questions in fig.7.3. In particular, equalities impacts are under-represented in the IIA SR. For the IIA to be of use, all of components of the assessment should be given appropriately adequate weight in order that the objectives and guiding questions are properly devised. </w:t>
      </w:r>
    </w:p>
    <w:p w:rsidR="00FD400B" w:rsidRDefault="00FD400B" w:rsidP="002B6D00">
      <w:pPr>
        <w:spacing w:after="0" w:line="240" w:lineRule="auto"/>
        <w:rPr>
          <w:rFonts w:eastAsia="Times New Roman" w:cstheme="minorHAnsi"/>
          <w:lang w:eastAsia="en-GB"/>
        </w:rPr>
      </w:pPr>
    </w:p>
    <w:p w:rsidR="00883254" w:rsidRDefault="00596DAE" w:rsidP="002B6D00">
      <w:pPr>
        <w:spacing w:after="0" w:line="240" w:lineRule="auto"/>
        <w:rPr>
          <w:rFonts w:eastAsia="Times New Roman" w:cstheme="minorHAnsi"/>
          <w:lang w:eastAsia="en-GB"/>
        </w:rPr>
      </w:pPr>
      <w:r>
        <w:rPr>
          <w:rFonts w:eastAsia="Times New Roman" w:cstheme="minorHAnsi"/>
          <w:lang w:eastAsia="en-GB"/>
        </w:rPr>
        <w:t>4</w:t>
      </w:r>
      <w:r w:rsidR="002B6D00" w:rsidRPr="002B6D00">
        <w:rPr>
          <w:rFonts w:eastAsia="Times New Roman" w:cstheme="minorHAnsi"/>
          <w:lang w:eastAsia="en-GB"/>
        </w:rPr>
        <w:t xml:space="preserve">.1 </w:t>
      </w:r>
      <w:r w:rsidR="002B6D00" w:rsidRPr="002B6D00">
        <w:rPr>
          <w:rFonts w:eastAsia="Times New Roman" w:cstheme="minorHAnsi"/>
          <w:b/>
          <w:lang w:eastAsia="en-GB"/>
        </w:rPr>
        <w:t>Biased evaluation:</w:t>
      </w:r>
      <w:r w:rsidR="002B6D00" w:rsidRPr="002B6D00">
        <w:rPr>
          <w:rFonts w:eastAsia="Times New Roman" w:cstheme="minorHAnsi"/>
          <w:lang w:eastAsia="en-GB"/>
        </w:rPr>
        <w:t xml:space="preserve"> </w:t>
      </w:r>
    </w:p>
    <w:p w:rsidR="002B6D00" w:rsidRDefault="00FD400B" w:rsidP="002B6D00">
      <w:pPr>
        <w:spacing w:after="0" w:line="240" w:lineRule="auto"/>
        <w:rPr>
          <w:rFonts w:eastAsia="Times New Roman" w:cstheme="minorHAnsi"/>
          <w:lang w:eastAsia="en-GB"/>
        </w:rPr>
      </w:pPr>
      <w:r>
        <w:rPr>
          <w:rFonts w:eastAsia="Times New Roman" w:cstheme="minorHAnsi"/>
          <w:lang w:eastAsia="en-GB"/>
        </w:rPr>
        <w:t>T</w:t>
      </w:r>
      <w:r w:rsidR="002B6D00" w:rsidRPr="002B6D00">
        <w:rPr>
          <w:rFonts w:eastAsia="Times New Roman" w:cstheme="minorHAnsi"/>
          <w:lang w:eastAsia="en-GB"/>
        </w:rPr>
        <w:t xml:space="preserve">he evaluation </w:t>
      </w:r>
      <w:proofErr w:type="gramStart"/>
      <w:r w:rsidR="002B6D00" w:rsidRPr="002B6D00">
        <w:rPr>
          <w:rFonts w:eastAsia="Times New Roman" w:cstheme="minorHAnsi"/>
          <w:lang w:eastAsia="en-GB"/>
        </w:rPr>
        <w:t xml:space="preserve">of </w:t>
      </w:r>
      <w:r w:rsidR="00C91A8B">
        <w:rPr>
          <w:rFonts w:eastAsia="Times New Roman" w:cstheme="minorHAnsi"/>
          <w:lang w:eastAsia="en-GB"/>
        </w:rPr>
        <w:t xml:space="preserve"> Policy</w:t>
      </w:r>
      <w:proofErr w:type="gramEnd"/>
      <w:r w:rsidR="00C91A8B">
        <w:rPr>
          <w:rFonts w:eastAsia="Times New Roman" w:cstheme="minorHAnsi"/>
          <w:lang w:eastAsia="en-GB"/>
        </w:rPr>
        <w:t xml:space="preserve"> H10 Redeveloping Existing Housing and </w:t>
      </w:r>
      <w:r w:rsidR="002B6D00" w:rsidRPr="002B6D00">
        <w:rPr>
          <w:rFonts w:eastAsia="Times New Roman" w:cstheme="minorHAnsi"/>
          <w:lang w:eastAsia="en-GB"/>
        </w:rPr>
        <w:t xml:space="preserve">Estate </w:t>
      </w:r>
      <w:r w:rsidR="000C440F">
        <w:rPr>
          <w:rFonts w:eastAsia="Times New Roman" w:cstheme="minorHAnsi"/>
          <w:lang w:eastAsia="en-GB"/>
        </w:rPr>
        <w:t>R</w:t>
      </w:r>
      <w:r w:rsidR="002B6D00" w:rsidRPr="002B6D00">
        <w:rPr>
          <w:rFonts w:eastAsia="Times New Roman" w:cstheme="minorHAnsi"/>
          <w:lang w:eastAsia="en-GB"/>
        </w:rPr>
        <w:t>egeneration shows no negative impacts, either environmental or in terms of social and equalities impacts. Given the extensive research literature, the London Assembly’s recent report on the subject, the representations made at E</w:t>
      </w:r>
      <w:r>
        <w:rPr>
          <w:rFonts w:eastAsia="Times New Roman" w:cstheme="minorHAnsi"/>
          <w:lang w:eastAsia="en-GB"/>
        </w:rPr>
        <w:t>xamination</w:t>
      </w:r>
      <w:r w:rsidR="00CE60CE">
        <w:rPr>
          <w:rFonts w:eastAsia="Times New Roman" w:cstheme="minorHAnsi"/>
          <w:lang w:eastAsia="en-GB"/>
        </w:rPr>
        <w:t>s</w:t>
      </w:r>
      <w:r>
        <w:rPr>
          <w:rFonts w:eastAsia="Times New Roman" w:cstheme="minorHAnsi"/>
          <w:lang w:eastAsia="en-GB"/>
        </w:rPr>
        <w:t xml:space="preserve"> in Public</w:t>
      </w:r>
      <w:r w:rsidR="002B6D00" w:rsidRPr="002B6D00">
        <w:rPr>
          <w:rFonts w:eastAsia="Times New Roman" w:cstheme="minorHAnsi"/>
          <w:lang w:eastAsia="en-GB"/>
        </w:rPr>
        <w:t xml:space="preserve"> over many years and the Inspectors’ reports, this shows how biased the analysis is. There may be positive outcomes from estate regeneration but nobody could doubt that there are negative ones:  disruption to residents’ lives, losses of embodied energy in structures demolished, severing of community networks if and when residents are displaced, </w:t>
      </w:r>
      <w:proofErr w:type="gramStart"/>
      <w:r w:rsidR="002B6D00" w:rsidRPr="002B6D00">
        <w:rPr>
          <w:rFonts w:eastAsia="Times New Roman" w:cstheme="minorHAnsi"/>
          <w:lang w:eastAsia="en-GB"/>
        </w:rPr>
        <w:t>interruption</w:t>
      </w:r>
      <w:proofErr w:type="gramEnd"/>
      <w:r w:rsidR="002B6D00" w:rsidRPr="002B6D00">
        <w:rPr>
          <w:rFonts w:eastAsia="Times New Roman" w:cstheme="minorHAnsi"/>
          <w:lang w:eastAsia="en-GB"/>
        </w:rPr>
        <w:t xml:space="preserve"> of education and so on. There is no red, or even yellow, in the </w:t>
      </w:r>
      <w:r w:rsidR="00CE60CE">
        <w:rPr>
          <w:rFonts w:eastAsia="Times New Roman" w:cstheme="minorHAnsi"/>
          <w:lang w:eastAsia="en-GB"/>
        </w:rPr>
        <w:t>matrix</w:t>
      </w:r>
      <w:r w:rsidR="002B6D00" w:rsidRPr="002B6D00">
        <w:rPr>
          <w:rFonts w:eastAsia="Times New Roman" w:cstheme="minorHAnsi"/>
          <w:lang w:eastAsia="en-GB"/>
        </w:rPr>
        <w:t>.</w:t>
      </w:r>
    </w:p>
    <w:p w:rsidR="000C440F" w:rsidRDefault="000C440F" w:rsidP="000C440F">
      <w:pPr>
        <w:spacing w:after="0" w:line="240" w:lineRule="auto"/>
      </w:pPr>
      <w:r>
        <w:rPr>
          <w:rFonts w:eastAsia="Times New Roman" w:cstheme="minorHAnsi"/>
          <w:lang w:eastAsia="en-GB"/>
        </w:rPr>
        <w:t>Furthermore, t</w:t>
      </w:r>
      <w:r>
        <w:t>here is an amount of missing information mainly regarding the Community Impact Assessment, where the grey colo</w:t>
      </w:r>
      <w:r>
        <w:t>u</w:t>
      </w:r>
      <w:r>
        <w:t>red boxes are not indicated as coding in any part of the document. The details on the process of the affected population allocation are also avoided while the significant positive characterization is being attributed to the Equality Impact Assessment part. There is lack of information also on the type of housing and tenure the displaced residents will be accommodated whereas the impact of the relevant objective (Housing supply, quality, choice and affordability) is assessed as significant positive and major significant positive.</w:t>
      </w:r>
    </w:p>
    <w:p w:rsidR="000C440F" w:rsidRDefault="000C440F" w:rsidP="000C440F">
      <w:pPr>
        <w:spacing w:after="0" w:line="240" w:lineRule="auto"/>
        <w:rPr>
          <w:b/>
          <w:sz w:val="24"/>
          <w:szCs w:val="24"/>
        </w:rPr>
      </w:pPr>
    </w:p>
    <w:p w:rsidR="00883254" w:rsidRDefault="00596DAE" w:rsidP="002B6D00">
      <w:pPr>
        <w:spacing w:after="0" w:line="240" w:lineRule="auto"/>
        <w:rPr>
          <w:rFonts w:eastAsia="Times New Roman" w:cstheme="minorHAnsi"/>
          <w:lang w:eastAsia="en-GB"/>
        </w:rPr>
      </w:pPr>
      <w:r>
        <w:rPr>
          <w:rFonts w:eastAsia="Times New Roman" w:cstheme="minorHAnsi"/>
          <w:lang w:eastAsia="en-GB"/>
        </w:rPr>
        <w:t>4</w:t>
      </w:r>
      <w:r w:rsidR="002B6D00" w:rsidRPr="002B6D00">
        <w:rPr>
          <w:rFonts w:eastAsia="Times New Roman" w:cstheme="minorHAnsi"/>
          <w:lang w:eastAsia="en-GB"/>
        </w:rPr>
        <w:t xml:space="preserve">.2 </w:t>
      </w:r>
      <w:r w:rsidR="002B6D00" w:rsidRPr="002B6D00">
        <w:rPr>
          <w:rFonts w:eastAsia="Times New Roman" w:cstheme="minorHAnsi"/>
          <w:b/>
          <w:lang w:eastAsia="en-GB"/>
        </w:rPr>
        <w:t>Omission of cumulative spatial impact of policy:</w:t>
      </w:r>
      <w:r w:rsidR="002B6D00" w:rsidRPr="002B6D00">
        <w:rPr>
          <w:rFonts w:eastAsia="Times New Roman" w:cstheme="minorHAnsi"/>
          <w:lang w:eastAsia="en-GB"/>
        </w:rPr>
        <w:t xml:space="preserve">  </w:t>
      </w:r>
    </w:p>
    <w:p w:rsidR="002B6D00" w:rsidRDefault="002B6D00" w:rsidP="002B6D00">
      <w:pPr>
        <w:spacing w:after="0" w:line="240" w:lineRule="auto"/>
        <w:rPr>
          <w:rFonts w:eastAsia="Times New Roman" w:cstheme="minorHAnsi"/>
          <w:lang w:eastAsia="en-GB"/>
        </w:rPr>
      </w:pPr>
      <w:r w:rsidRPr="002B6D00">
        <w:rPr>
          <w:rFonts w:eastAsia="Times New Roman" w:cstheme="minorHAnsi"/>
          <w:lang w:eastAsia="en-GB"/>
        </w:rPr>
        <w:t xml:space="preserve">The </w:t>
      </w:r>
      <w:r w:rsidR="00E328F5">
        <w:rPr>
          <w:rFonts w:eastAsia="Times New Roman" w:cstheme="minorHAnsi"/>
          <w:lang w:eastAsia="en-GB"/>
        </w:rPr>
        <w:t>S</w:t>
      </w:r>
      <w:r w:rsidRPr="002B6D00">
        <w:rPr>
          <w:rFonts w:eastAsia="Times New Roman" w:cstheme="minorHAnsi"/>
          <w:lang w:eastAsia="en-GB"/>
        </w:rPr>
        <w:t xml:space="preserve">mall </w:t>
      </w:r>
      <w:r w:rsidR="00E328F5">
        <w:rPr>
          <w:rFonts w:eastAsia="Times New Roman" w:cstheme="minorHAnsi"/>
          <w:lang w:eastAsia="en-GB"/>
        </w:rPr>
        <w:t>S</w:t>
      </w:r>
      <w:r w:rsidRPr="002B6D00">
        <w:rPr>
          <w:rFonts w:eastAsia="Times New Roman" w:cstheme="minorHAnsi"/>
          <w:lang w:eastAsia="en-GB"/>
        </w:rPr>
        <w:t xml:space="preserve">ites </w:t>
      </w:r>
      <w:r w:rsidR="00E328F5">
        <w:rPr>
          <w:rFonts w:eastAsia="Times New Roman" w:cstheme="minorHAnsi"/>
          <w:lang w:eastAsia="en-GB"/>
        </w:rPr>
        <w:t>P</w:t>
      </w:r>
      <w:r w:rsidRPr="002B6D00">
        <w:rPr>
          <w:rFonts w:eastAsia="Times New Roman" w:cstheme="minorHAnsi"/>
          <w:lang w:eastAsia="en-GB"/>
        </w:rPr>
        <w:t>olicy in H1 and H2 is intended to apply across very wide areas of London and could produce radically new forms of densification in areas of mainly fragmented land ownership. Until boroughs have produced the proposed design codes and had them approved and adopted there will be a presumption in favour of small site developments which could have severe and largely unregulated consequences which we discuss in comments on H2. In particular we envisage displacement pressures on private tenants and thus disproportionately on weaker groups in society including some ethnic groups. These issues are simply missing, as far as we can tell.</w:t>
      </w:r>
      <w:r w:rsidR="00E328F5">
        <w:rPr>
          <w:rFonts w:eastAsia="Times New Roman" w:cstheme="minorHAnsi"/>
          <w:lang w:eastAsia="en-GB"/>
        </w:rPr>
        <w:t xml:space="preserve"> </w:t>
      </w:r>
      <w:proofErr w:type="gramStart"/>
      <w:r w:rsidR="00E328F5">
        <w:rPr>
          <w:rFonts w:eastAsia="Times New Roman" w:cstheme="minorHAnsi"/>
          <w:lang w:eastAsia="en-GB"/>
        </w:rPr>
        <w:t>This point are</w:t>
      </w:r>
      <w:proofErr w:type="gramEnd"/>
      <w:r w:rsidR="00E328F5">
        <w:rPr>
          <w:rFonts w:eastAsia="Times New Roman" w:cstheme="minorHAnsi"/>
          <w:lang w:eastAsia="en-GB"/>
        </w:rPr>
        <w:t xml:space="preserve"> further elaborated in the following detailed analysis of Policy H2 and the IIA.</w:t>
      </w:r>
    </w:p>
    <w:p w:rsidR="00E328F5" w:rsidRDefault="00E328F5" w:rsidP="002B6D00">
      <w:pPr>
        <w:spacing w:after="0" w:line="240" w:lineRule="auto"/>
        <w:rPr>
          <w:rFonts w:eastAsia="Times New Roman" w:cstheme="minorHAnsi"/>
          <w:lang w:eastAsia="en-GB"/>
        </w:rPr>
      </w:pPr>
    </w:p>
    <w:p w:rsidR="00E328F5" w:rsidRPr="00883254" w:rsidRDefault="00596DAE" w:rsidP="00E328F5">
      <w:pPr>
        <w:spacing w:after="0" w:line="240" w:lineRule="auto"/>
        <w:rPr>
          <w:rFonts w:eastAsia="Times New Roman" w:cstheme="minorHAnsi"/>
          <w:b/>
          <w:lang w:eastAsia="en-GB"/>
        </w:rPr>
      </w:pPr>
      <w:r>
        <w:rPr>
          <w:rFonts w:eastAsia="Times New Roman" w:cstheme="minorHAnsi"/>
          <w:lang w:eastAsia="en-GB"/>
        </w:rPr>
        <w:t>4</w:t>
      </w:r>
      <w:r w:rsidR="00E328F5">
        <w:rPr>
          <w:rFonts w:eastAsia="Times New Roman" w:cstheme="minorHAnsi"/>
          <w:lang w:eastAsia="en-GB"/>
        </w:rPr>
        <w:t>.</w:t>
      </w:r>
      <w:r w:rsidR="00E328F5" w:rsidRPr="00883254">
        <w:rPr>
          <w:rFonts w:eastAsia="Times New Roman" w:cstheme="minorHAnsi"/>
          <w:b/>
          <w:lang w:eastAsia="en-GB"/>
        </w:rPr>
        <w:t xml:space="preserve">3 </w:t>
      </w:r>
      <w:r w:rsidR="00883254" w:rsidRPr="00883254">
        <w:rPr>
          <w:rFonts w:eastAsia="Times New Roman" w:cstheme="minorHAnsi"/>
          <w:b/>
          <w:lang w:eastAsia="en-GB"/>
        </w:rPr>
        <w:t>Failure to properly evaluate Equalities Considerations:</w:t>
      </w:r>
    </w:p>
    <w:p w:rsidR="00E328F5" w:rsidRDefault="00883254" w:rsidP="00E328F5">
      <w:pPr>
        <w:spacing w:after="0" w:line="240" w:lineRule="auto"/>
        <w:rPr>
          <w:rFonts w:eastAsia="Times New Roman" w:cstheme="minorHAnsi"/>
          <w:lang w:eastAsia="en-GB"/>
        </w:rPr>
      </w:pPr>
      <w:r>
        <w:rPr>
          <w:rFonts w:eastAsia="Times New Roman" w:cstheme="minorHAnsi"/>
          <w:lang w:eastAsia="en-GB"/>
        </w:rPr>
        <w:t xml:space="preserve">Small Sites Policy </w:t>
      </w:r>
      <w:r w:rsidR="00E328F5" w:rsidRPr="00E328F5">
        <w:rPr>
          <w:rFonts w:eastAsia="Times New Roman" w:cstheme="minorHAnsi"/>
          <w:lang w:eastAsia="en-GB"/>
        </w:rPr>
        <w:t>H2: Thus whereas concerns and safeguards regarding negative impacts of regeneration (of estates) and potential loss of affordable housing is guarded against in the Better Homes for Londoners SPG and implied in SD10 through Policy Text 2.10.3, the impact of this proposed major intensification of uses across much of London is not referred to and has not been evaluated at all. Equalities considerations are not present in any discussion of this policy.  The IIA notes that it is unknown whether this policy H2 might have negative effects on objectives 1 “ To make London a fair and inclusive city where every person is able to participate, reducing inequality and disadvantage and addressing the diverse needs to the population”, and 2. “To ensure London has socially integrated communities which are strong, resilient and free of prejudice”.</w:t>
      </w:r>
    </w:p>
    <w:p w:rsidR="00E328F5" w:rsidRPr="00E328F5" w:rsidRDefault="00E328F5" w:rsidP="00E328F5">
      <w:pPr>
        <w:spacing w:after="0" w:line="240" w:lineRule="auto"/>
        <w:rPr>
          <w:rFonts w:eastAsia="Times New Roman" w:cstheme="minorHAnsi"/>
          <w:lang w:eastAsia="en-GB"/>
        </w:rPr>
      </w:pPr>
    </w:p>
    <w:p w:rsidR="00E328F5" w:rsidRDefault="00E328F5" w:rsidP="00E328F5">
      <w:pPr>
        <w:spacing w:after="0" w:line="240" w:lineRule="auto"/>
        <w:rPr>
          <w:rFonts w:eastAsia="Times New Roman" w:cstheme="minorHAnsi"/>
          <w:lang w:eastAsia="en-GB"/>
        </w:rPr>
      </w:pPr>
      <w:r w:rsidRPr="00E328F5">
        <w:rPr>
          <w:rFonts w:eastAsia="Times New Roman" w:cstheme="minorHAnsi"/>
          <w:lang w:eastAsia="en-GB"/>
        </w:rPr>
        <w:t xml:space="preserve"> Absent from this planned large scale plan for (incremental) housing development are any: policy requirements for participation from local communities in planning developments; requirements to replace like for like housing; requirements to protect tenancies or the right to return or to remain in the neighbourhood are entirely missing from these policies. Concerns regarding displacement long relevant to council housing estates might be anticipated to become more generalized: “In some cases, regeneration will include the loss and replacement of homes and it is important that any such scheme is delivered with existing and new residents and communities in mind. This is particularly pertinent for estate regeneration…” </w:t>
      </w:r>
      <w:proofErr w:type="gramStart"/>
      <w:r w:rsidRPr="00E328F5">
        <w:rPr>
          <w:rFonts w:eastAsia="Times New Roman" w:cstheme="minorHAnsi"/>
          <w:lang w:eastAsia="en-GB"/>
        </w:rPr>
        <w:t>(4.10.3).</w:t>
      </w:r>
      <w:proofErr w:type="gramEnd"/>
      <w:r w:rsidRPr="00E328F5">
        <w:rPr>
          <w:rFonts w:eastAsia="Times New Roman" w:cstheme="minorHAnsi"/>
          <w:lang w:eastAsia="en-GB"/>
        </w:rPr>
        <w:t xml:space="preserve"> </w:t>
      </w:r>
    </w:p>
    <w:p w:rsidR="00E328F5" w:rsidRPr="00E328F5" w:rsidRDefault="00E328F5" w:rsidP="00E328F5">
      <w:pPr>
        <w:spacing w:after="0" w:line="240" w:lineRule="auto"/>
        <w:rPr>
          <w:rFonts w:eastAsia="Times New Roman" w:cstheme="minorHAnsi"/>
          <w:lang w:eastAsia="en-GB"/>
        </w:rPr>
      </w:pPr>
    </w:p>
    <w:p w:rsidR="00E328F5" w:rsidRDefault="00E328F5" w:rsidP="00E328F5">
      <w:pPr>
        <w:spacing w:after="0" w:line="240" w:lineRule="auto"/>
        <w:rPr>
          <w:rFonts w:eastAsia="Times New Roman" w:cstheme="minorHAnsi"/>
          <w:lang w:eastAsia="en-GB"/>
        </w:rPr>
      </w:pPr>
      <w:r w:rsidRPr="00E328F5">
        <w:rPr>
          <w:rFonts w:eastAsia="Times New Roman" w:cstheme="minorHAnsi"/>
          <w:lang w:eastAsia="en-GB"/>
        </w:rPr>
        <w:t>However, where redevelopments are piecemeal, site by site, and targeted at currently privately owned property, what will be the impacts, what will be the safeguards? This is likely to intensify the challenges of regular displacement, poor maintenance and insecurity faced by families in the private-rented sector; displacement of children from schools and neighbourhoods; loss of family housing replaced by smaller more profitable units. Section 2.10.6, for example, would be relevant to this intensification plan, as London’s neighbourhoods are “home to many established and varied communities” (p. 94). It could well be that this process will impact differentially on vulnerable communities, black and ethnic minority neighbourhoods – adequate protections and review of likely impacts of these developments is required prior to implementation. None of these obvious concerns are raised in the IIA (p. 139) which instead points to the need for (a) “further detail on the accompanying physical and social infrastructure, in addition to transport, that could help to mitigate adverse impacts of high density development” and (b) a spurious concern for conflict between Opportunity Areas and small sites for physical space – spurious because OAPFS and local plans will guide development in OAs. The IIA is not fit for purpose.</w:t>
      </w:r>
    </w:p>
    <w:p w:rsidR="00CE60CE" w:rsidRPr="00E328F5" w:rsidRDefault="00CE60CE" w:rsidP="00E328F5">
      <w:pPr>
        <w:spacing w:after="0" w:line="240" w:lineRule="auto"/>
        <w:rPr>
          <w:rFonts w:eastAsia="Times New Roman" w:cstheme="minorHAnsi"/>
          <w:lang w:eastAsia="en-GB"/>
        </w:rPr>
      </w:pPr>
    </w:p>
    <w:p w:rsidR="00E328F5" w:rsidRPr="002B6D00" w:rsidRDefault="00E328F5" w:rsidP="00E328F5">
      <w:pPr>
        <w:spacing w:after="0" w:line="240" w:lineRule="auto"/>
        <w:rPr>
          <w:rFonts w:eastAsia="Times New Roman" w:cstheme="minorHAnsi"/>
          <w:lang w:eastAsia="en-GB"/>
        </w:rPr>
      </w:pPr>
      <w:r w:rsidRPr="00E328F5">
        <w:rPr>
          <w:rFonts w:eastAsia="Times New Roman" w:cstheme="minorHAnsi"/>
          <w:lang w:eastAsia="en-GB"/>
        </w:rPr>
        <w:t xml:space="preserve"> This ad hoc new policy is very far from being sound in terms of its ability to assess or provide evidence of its likely implications or impacts, and has potentially severe equalities implications.</w:t>
      </w:r>
    </w:p>
    <w:p w:rsidR="002B6D00" w:rsidRPr="002B6D00" w:rsidRDefault="002B6D00" w:rsidP="002B6D00">
      <w:pPr>
        <w:spacing w:after="0" w:line="240" w:lineRule="auto"/>
        <w:rPr>
          <w:rFonts w:eastAsia="Times New Roman" w:cstheme="minorHAnsi"/>
          <w:lang w:eastAsia="en-GB"/>
        </w:rPr>
      </w:pPr>
    </w:p>
    <w:p w:rsidR="00883254" w:rsidRPr="00E328F5" w:rsidRDefault="00596DAE" w:rsidP="00CE60CE">
      <w:r>
        <w:t>4</w:t>
      </w:r>
      <w:r w:rsidR="00883254">
        <w:t xml:space="preserve">.4 </w:t>
      </w:r>
      <w:r w:rsidR="00883254" w:rsidRPr="00883254">
        <w:rPr>
          <w:b/>
        </w:rPr>
        <w:t>Failure to respond to IIA requests and the recording of “Unknown” impacts</w:t>
      </w:r>
      <w:r w:rsidR="00CE60CE">
        <w:rPr>
          <w:b/>
        </w:rPr>
        <w:t xml:space="preserve">                                  </w:t>
      </w:r>
      <w:r w:rsidR="00E328F5" w:rsidRPr="00E328F5">
        <w:t>In relation to Policy SD8, the London Plan IIA requests that "Details on the provision of green space, cultural participation to support vibrant town centres, and affordability should be considered."</w:t>
      </w:r>
      <w:r w:rsidR="00883254">
        <w:t xml:space="preserve"> </w:t>
      </w:r>
    </w:p>
    <w:p w:rsidR="00883254" w:rsidRDefault="00E328F5" w:rsidP="00883254">
      <w:pPr>
        <w:pStyle w:val="NoSpacing"/>
      </w:pPr>
      <w:r w:rsidRPr="00E328F5">
        <w:t xml:space="preserve">The GLA response stated these are "addressed more specifically elsewhere in the Plan." </w:t>
      </w:r>
    </w:p>
    <w:p w:rsidR="00883254" w:rsidRDefault="00883254" w:rsidP="00883254">
      <w:pPr>
        <w:pStyle w:val="NoSpacing"/>
      </w:pPr>
    </w:p>
    <w:p w:rsidR="00E328F5" w:rsidRDefault="00E328F5" w:rsidP="00883254">
      <w:pPr>
        <w:pStyle w:val="NoSpacing"/>
      </w:pPr>
      <w:r w:rsidRPr="00E328F5">
        <w:t>In relation to SD9 the IIA requests that "It was recommended that further information be provided on how Town Centre Strategies could support and develop cultural infrastructure, and appropriate access to such opportunities</w:t>
      </w:r>
      <w:r>
        <w:t>. It was also recommended that further detail is provided in relation to housing development, for example the policy could make reference to affordable, adaptable and accessible provision." The GLA felt that no changes needed to be made, and that "The GLA advised that further information is provided in other policies within the Plan which address cultural uses and housing". Nonetheless, of great concern is that the appraisal notes an "unknown" impact for both these policies in the Equalities Impact Assessment, against the key objective 13, "To safeguard and enhance the Capital’s rich cultural offer, infrastructure, heritage, natural environment and talent to benefit all Londoners while delivering new activities that strengthen London’s global position." We feel it is unsound that there are concerns raised by the IIA about the safeguarding of key social and community infrastructure in town centres, that no provision is made in relation to this in the relevant policies, and that the impacts of this policy on the foundations of vital and lifetime neighbourhoods in London, especially for poorer communities, are declared to be unknown, when in our view they will be seriously affected by this policy as low value uses are displaced for high value uses and unaffordable housing.</w:t>
      </w:r>
    </w:p>
    <w:p w:rsidR="00E328F5" w:rsidRDefault="00E328F5" w:rsidP="00883254">
      <w:pPr>
        <w:pStyle w:val="NoSpacing"/>
      </w:pPr>
      <w:r>
        <w:t xml:space="preserve">  </w:t>
      </w:r>
    </w:p>
    <w:p w:rsidR="00E328F5" w:rsidRPr="00C91A8B" w:rsidRDefault="00734689" w:rsidP="00883254">
      <w:pPr>
        <w:pStyle w:val="NoSpacing"/>
        <w:rPr>
          <w:b/>
        </w:rPr>
      </w:pPr>
      <w:r w:rsidRPr="00F9118C">
        <w:rPr>
          <w:b/>
        </w:rPr>
        <w:t>4</w:t>
      </w:r>
      <w:r w:rsidR="002F2C57" w:rsidRPr="00F9118C">
        <w:rPr>
          <w:b/>
        </w:rPr>
        <w:t xml:space="preserve">.5 </w:t>
      </w:r>
      <w:r w:rsidR="00C91A8B" w:rsidRPr="00F9118C">
        <w:rPr>
          <w:b/>
        </w:rPr>
        <w:t>Un</w:t>
      </w:r>
      <w:r w:rsidR="00C91A8B" w:rsidRPr="00C91A8B">
        <w:rPr>
          <w:b/>
        </w:rPr>
        <w:t>demanding ‘soft’ scrutiny of Policy</w:t>
      </w:r>
    </w:p>
    <w:p w:rsidR="002F2C57" w:rsidRPr="002F2C57" w:rsidRDefault="002F2C57" w:rsidP="00CE60CE">
      <w:pPr>
        <w:pBdr>
          <w:top w:val="nil"/>
          <w:left w:val="nil"/>
          <w:bottom w:val="nil"/>
          <w:right w:val="nil"/>
          <w:between w:val="nil"/>
        </w:pBdr>
        <w:spacing w:after="0" w:line="240" w:lineRule="auto"/>
      </w:pPr>
      <w:r w:rsidRPr="002F2C57">
        <w:rPr>
          <w:rFonts w:ascii="Calibri" w:eastAsia="Calibri" w:hAnsi="Calibri" w:cs="Calibri"/>
          <w:color w:val="000000"/>
        </w:rPr>
        <w:t>DF1. Delivery of the Plan and Planning Obligations</w:t>
      </w:r>
      <w:r w:rsidR="00C91A8B" w:rsidRPr="00CE60CE">
        <w:rPr>
          <w:rFonts w:ascii="Calibri" w:eastAsia="Calibri" w:hAnsi="Calibri" w:cs="Calibri"/>
        </w:rPr>
        <w:t xml:space="preserve">: </w:t>
      </w:r>
      <w:r w:rsidRPr="00CE60CE">
        <w:t xml:space="preserve">IIA Review: Policy </w:t>
      </w:r>
      <w:r w:rsidRPr="002F2C57">
        <w:t xml:space="preserve">strengthens the compliance of planning obligations when developing a proposal or acquiring land.  It supports viability assessment as an exception and just on specific “by case” basis. If an applicant wishes to make a case of viability testing, robust evidence should be presented identifying clear barriers to deliver. This evidence will be undertaken in line with Mayor’s Affordable Housing and Viability SPG. </w:t>
      </w:r>
    </w:p>
    <w:p w:rsidR="002F2C57" w:rsidRPr="002F2C57" w:rsidRDefault="002F2C57" w:rsidP="002F2C57">
      <w:pPr>
        <w:pStyle w:val="NoSpacing"/>
      </w:pPr>
    </w:p>
    <w:p w:rsidR="002F2C57" w:rsidRPr="002F2C57" w:rsidRDefault="002F2C57" w:rsidP="002F2C57">
      <w:pPr>
        <w:pStyle w:val="NoSpacing"/>
      </w:pPr>
      <w:r w:rsidRPr="00CE60CE">
        <w:t xml:space="preserve">IIA Comments: </w:t>
      </w:r>
      <w:r w:rsidRPr="002F2C57">
        <w:t xml:space="preserve">Implementation of this </w:t>
      </w:r>
      <w:proofErr w:type="gramStart"/>
      <w:r w:rsidRPr="002F2C57">
        <w:t>policy,</w:t>
      </w:r>
      <w:proofErr w:type="gramEnd"/>
      <w:r w:rsidRPr="002F2C57">
        <w:t xml:space="preserve"> will provide structure and a standard process to planning applications, resulting on clarity and certainty to the applicants; e.g. reduce risk for developers and increase negotiating power for local authorities and communities.</w:t>
      </w:r>
    </w:p>
    <w:p w:rsidR="002F2C57" w:rsidRPr="002F2C57" w:rsidRDefault="002F2C57" w:rsidP="002F2C57">
      <w:pPr>
        <w:pStyle w:val="NoSpacing"/>
      </w:pPr>
      <w:r w:rsidRPr="002F2C57">
        <w:t>Policy supports housing and transport as key for development, and encourages ‘consideration’ of larger sites as opportunities to develop social infrastructure: health, education, cultural and</w:t>
      </w:r>
    </w:p>
    <w:p w:rsidR="002F2C57" w:rsidRPr="002F2C57" w:rsidRDefault="002F2C57" w:rsidP="002F2C57">
      <w:pPr>
        <w:pStyle w:val="NoSpacing"/>
      </w:pPr>
      <w:proofErr w:type="gramStart"/>
      <w:r w:rsidRPr="002F2C57">
        <w:t>leisure</w:t>
      </w:r>
      <w:proofErr w:type="gramEnd"/>
      <w:r w:rsidRPr="002F2C57">
        <w:t xml:space="preserve"> facilities and affordable workspace.</w:t>
      </w:r>
    </w:p>
    <w:p w:rsidR="002F2C57" w:rsidRPr="002F2C57" w:rsidRDefault="002F2C57" w:rsidP="002F2C57">
      <w:pPr>
        <w:pStyle w:val="NoSpacing"/>
      </w:pPr>
    </w:p>
    <w:p w:rsidR="002F2C57" w:rsidRPr="002F2C57" w:rsidRDefault="002F2C57" w:rsidP="002F2C57">
      <w:pPr>
        <w:pStyle w:val="NoSpacing"/>
      </w:pPr>
      <w:r w:rsidRPr="00CE60CE">
        <w:t xml:space="preserve">IIA Recommendations: Change </w:t>
      </w:r>
      <w:r w:rsidRPr="002F2C57">
        <w:t>minor wording and consider impact on density when bringing forward brownfield sites and the impact on viability.</w:t>
      </w:r>
    </w:p>
    <w:p w:rsidR="002F2C57" w:rsidRPr="002F2C57" w:rsidRDefault="002F2C57" w:rsidP="002F2C57">
      <w:pPr>
        <w:pStyle w:val="NoSpacing"/>
      </w:pPr>
    </w:p>
    <w:p w:rsidR="002F2C57" w:rsidRPr="002F2C57" w:rsidRDefault="002F2C57" w:rsidP="002F2C57">
      <w:pPr>
        <w:pStyle w:val="NoSpacing"/>
      </w:pPr>
      <w:r w:rsidRPr="00CE60CE">
        <w:t xml:space="preserve">GLA Response: </w:t>
      </w:r>
      <w:proofErr w:type="gramStart"/>
      <w:r w:rsidRPr="002F2C57">
        <w:t>“ The</w:t>
      </w:r>
      <w:proofErr w:type="gramEnd"/>
      <w:r w:rsidRPr="002F2C57">
        <w:t xml:space="preserve"> viability study that accompanied the Plan clearly showed that the policies within the Plan were viable and policy DF1 was explicit that viability issues should be exceptions to the rule.” (IIA p.303)</w:t>
      </w:r>
    </w:p>
    <w:p w:rsidR="002F2C57" w:rsidRPr="002F2C57" w:rsidRDefault="002F2C57" w:rsidP="002F2C57">
      <w:pPr>
        <w:pStyle w:val="NoSpacing"/>
      </w:pPr>
    </w:p>
    <w:p w:rsidR="002F2C57" w:rsidRPr="002F2C57" w:rsidRDefault="00C91A8B" w:rsidP="002F2C57">
      <w:pPr>
        <w:pStyle w:val="NoSpacing"/>
      </w:pPr>
      <w:r>
        <w:t>So t</w:t>
      </w:r>
      <w:r w:rsidR="00CE60CE">
        <w:t xml:space="preserve">he IIA supports LP view on: </w:t>
      </w:r>
      <w:r w:rsidR="002F2C57" w:rsidRPr="002F2C57">
        <w:t xml:space="preserve">Viability Tests </w:t>
      </w:r>
      <w:r w:rsidR="002F2C57">
        <w:t xml:space="preserve">as </w:t>
      </w:r>
      <w:r w:rsidR="002F2C57" w:rsidRPr="002F2C57">
        <w:t xml:space="preserve">being a hamper to speed up development of local </w:t>
      </w:r>
      <w:proofErr w:type="spellStart"/>
      <w:r w:rsidR="002F2C57" w:rsidRPr="002F2C57">
        <w:t>sites.Housing</w:t>
      </w:r>
      <w:proofErr w:type="spellEnd"/>
      <w:r w:rsidR="002F2C57" w:rsidRPr="002F2C57">
        <w:t xml:space="preserve"> and transport should be a priority on development, leaving social infrastructure second. IIA softly touches on considering early infrastructure as a contribution to a balanced and inclusive development. Yet, does not go further on which type of infrastructure: schools, health care facilities, transport infrastructure? </w:t>
      </w:r>
    </w:p>
    <w:p w:rsidR="002F2C57" w:rsidRPr="002F2C57" w:rsidRDefault="002F2C57" w:rsidP="002F2C57">
      <w:pPr>
        <w:pStyle w:val="NoSpacing"/>
      </w:pPr>
    </w:p>
    <w:p w:rsidR="002F2C57" w:rsidRPr="002F2C57" w:rsidRDefault="002F2C57" w:rsidP="002F2C57">
      <w:pPr>
        <w:pStyle w:val="NoSpacing"/>
      </w:pPr>
      <w:r w:rsidRPr="002F2C57">
        <w:t xml:space="preserve">The IIA </w:t>
      </w:r>
      <w:r w:rsidR="00C91A8B" w:rsidRPr="002F2C57">
        <w:t>eschews</w:t>
      </w:r>
      <w:r w:rsidRPr="002F2C57">
        <w:t xml:space="preserve"> any mention on the funding gap. There is no comment either, in reference to the boroughs having </w:t>
      </w:r>
      <w:r w:rsidR="00C91A8B">
        <w:t>the</w:t>
      </w:r>
      <w:r w:rsidRPr="002F2C57">
        <w:t xml:space="preserve"> capacity to decide how to deal and weigh the information presented in Viability Assessment</w:t>
      </w:r>
      <w:r w:rsidR="00C91A8B">
        <w:t>s</w:t>
      </w:r>
      <w:r w:rsidRPr="002F2C57">
        <w:t>. Similarly, it is completely avoided how the community is excluded when boroughs are encouraged to take in</w:t>
      </w:r>
      <w:r w:rsidR="00C91A8B">
        <w:t>to</w:t>
      </w:r>
      <w:r w:rsidRPr="002F2C57">
        <w:t xml:space="preserve"> account the Levy. </w:t>
      </w:r>
    </w:p>
    <w:p w:rsidR="00450EB7" w:rsidRDefault="00450EB7" w:rsidP="002F2C57">
      <w:pPr>
        <w:pStyle w:val="NoSpacing"/>
      </w:pPr>
    </w:p>
    <w:p w:rsidR="000C440F" w:rsidRDefault="00734689" w:rsidP="002F2C57">
      <w:pPr>
        <w:pStyle w:val="NoSpacing"/>
      </w:pPr>
      <w:r w:rsidRPr="00734689">
        <w:rPr>
          <w:b/>
        </w:rPr>
        <w:t>4.</w:t>
      </w:r>
      <w:r w:rsidR="00F9118C">
        <w:rPr>
          <w:b/>
        </w:rPr>
        <w:t>6</w:t>
      </w:r>
      <w:r w:rsidRPr="00734689">
        <w:rPr>
          <w:b/>
        </w:rPr>
        <w:t>.Apparent lack of definite consequences from IIA</w:t>
      </w:r>
      <w:r w:rsidR="00CE60CE">
        <w:rPr>
          <w:b/>
        </w:rPr>
        <w:t xml:space="preserve">                                                                                         </w:t>
      </w:r>
      <w:r w:rsidR="00CE60CE" w:rsidRPr="00CE60CE">
        <w:t xml:space="preserve">Generally, there is an apparent lack of definite consequences from the </w:t>
      </w:r>
      <w:proofErr w:type="spellStart"/>
      <w:r w:rsidR="00CE60CE" w:rsidRPr="00CE60CE">
        <w:t>IIA.</w:t>
      </w:r>
      <w:r w:rsidRPr="00CE60CE">
        <w:t>The</w:t>
      </w:r>
      <w:proofErr w:type="spellEnd"/>
      <w:r w:rsidRPr="00CE60CE">
        <w:t xml:space="preserve"> IIA process should clearly set out and commit to definite actions that are assured to result in the plan or strategy being amended to minimize negative impacts, optimize positive ones and compensate for losses as it progresses throughout its preparation. If it </w:t>
      </w:r>
      <w:r w:rsidR="00CE60CE" w:rsidRPr="00CE60CE">
        <w:t>does not done this</w:t>
      </w:r>
      <w:r w:rsidR="00CE60CE">
        <w:t xml:space="preserve"> adequatel</w:t>
      </w:r>
      <w:r w:rsidRPr="00734689">
        <w:t>y and therefore has not done what an impact asse</w:t>
      </w:r>
      <w:r w:rsidR="00CE60CE">
        <w:t>s</w:t>
      </w:r>
      <w:r w:rsidRPr="00734689">
        <w:t>sment is required to do,</w:t>
      </w:r>
    </w:p>
    <w:p w:rsidR="000C440F" w:rsidRDefault="000C440F" w:rsidP="002F2C57">
      <w:pPr>
        <w:pStyle w:val="NoSpacing"/>
      </w:pPr>
    </w:p>
    <w:p w:rsidR="003157D8" w:rsidRDefault="003157D8" w:rsidP="002F2C57">
      <w:pPr>
        <w:pStyle w:val="NoSpacing"/>
      </w:pPr>
    </w:p>
    <w:p w:rsidR="003157D8" w:rsidRDefault="003157D8" w:rsidP="002F2C57">
      <w:pPr>
        <w:pStyle w:val="NoSpacing"/>
      </w:pPr>
    </w:p>
    <w:p w:rsidR="003157D8" w:rsidRDefault="003157D8" w:rsidP="002F2C57">
      <w:pPr>
        <w:pStyle w:val="NoSpacing"/>
      </w:pPr>
    </w:p>
    <w:p w:rsidR="003157D8" w:rsidRPr="003157D8" w:rsidRDefault="003157D8" w:rsidP="003157D8">
      <w:pPr>
        <w:pStyle w:val="NoSpacing"/>
        <w:jc w:val="center"/>
        <w:rPr>
          <w:b/>
          <w:sz w:val="28"/>
          <w:szCs w:val="28"/>
        </w:rPr>
      </w:pPr>
      <w:r w:rsidRPr="003157D8">
        <w:rPr>
          <w:b/>
          <w:sz w:val="28"/>
          <w:szCs w:val="28"/>
        </w:rPr>
        <w:t>Appendix: Proposal for a Community Generated Spatial Option</w:t>
      </w:r>
      <w:bookmarkStart w:id="1" w:name="_GoBack"/>
      <w:bookmarkEnd w:id="1"/>
    </w:p>
    <w:p w:rsidR="003157D8" w:rsidRDefault="003157D8" w:rsidP="003157D8">
      <w:pPr>
        <w:pStyle w:val="NoSpacing"/>
        <w:jc w:val="center"/>
      </w:pPr>
    </w:p>
    <w:p w:rsidR="003157D8" w:rsidRDefault="003157D8" w:rsidP="003157D8">
      <w:pPr>
        <w:pStyle w:val="NoSpacing"/>
      </w:pPr>
      <w:r>
        <w:t xml:space="preserve"> 1.   The growth challenges facing London require a new geography and a fresh imagination, underpinned by inclusive growth, fairness and diversity of people, businesses and places, therefore avoiding over-reliance on the Central Activities Zone/Isle of Dogs, high-order Town Centres and on a small number of economic sectors.</w:t>
      </w:r>
    </w:p>
    <w:p w:rsidR="003157D8" w:rsidRDefault="003157D8" w:rsidP="003157D8">
      <w:pPr>
        <w:pStyle w:val="NoSpacing"/>
      </w:pPr>
    </w:p>
    <w:p w:rsidR="003157D8" w:rsidRDefault="003157D8" w:rsidP="003157D8">
      <w:pPr>
        <w:pStyle w:val="NoSpacing"/>
      </w:pPr>
      <w:r>
        <w:t xml:space="preserve">2.   This new geography for London will be a network of Lifetime Neighbourhoods and Lifetime Suburbs, providing many key amenities and job opportunities locally, thus reducing the need for costly and polluting </w:t>
      </w:r>
      <w:proofErr w:type="gramStart"/>
      <w:r>
        <w:t>travel</w:t>
      </w:r>
      <w:proofErr w:type="gramEnd"/>
      <w:r>
        <w:t xml:space="preserve"> into the Central Activities Zone. Outer London in particular needs lifetime suburbs and a real mixed development strategy   </w:t>
      </w:r>
      <w:proofErr w:type="gramStart"/>
      <w:r>
        <w:t>Through</w:t>
      </w:r>
      <w:proofErr w:type="gramEnd"/>
      <w:r>
        <w:t xml:space="preserve"> a new approach to public and community-owned assets driven by social sustainability objectives, social infrastructure and community spaces in all parts of London will be protected, avoiding the previous decimation of community assets in working class and multi-cultural geographic areas. It will be a Blue Green City, placing value on the connection and interaction between London’s blue and green assets.</w:t>
      </w:r>
    </w:p>
    <w:p w:rsidR="003157D8" w:rsidRDefault="003157D8" w:rsidP="003157D8">
      <w:pPr>
        <w:pStyle w:val="NoSpacing"/>
      </w:pPr>
      <w:r>
        <w:tab/>
      </w:r>
    </w:p>
    <w:p w:rsidR="003157D8" w:rsidRDefault="003157D8" w:rsidP="003157D8">
      <w:pPr>
        <w:pStyle w:val="NoSpacing"/>
      </w:pPr>
      <w:r>
        <w:t>3.   The South East region and the other regions of the UK are a spatial context which has to be considered in thinking about the spatial future of London. Inclusive growth, that puts economic fairness, health and well-being and environmental sustainability at the heart of development would require a re-balancing with the rest of the UK economy and involve the Mayor in partnerships and collaborations with other cities and regions. Such negotiations could lead to welcome reductions in London’s need to find space for additional homes or jobs.</w:t>
      </w:r>
    </w:p>
    <w:p w:rsidR="003157D8" w:rsidRDefault="003157D8" w:rsidP="003157D8">
      <w:pPr>
        <w:pStyle w:val="NoSpacing"/>
      </w:pPr>
      <w:r>
        <w:tab/>
      </w:r>
    </w:p>
    <w:p w:rsidR="003157D8" w:rsidRDefault="003157D8" w:rsidP="003157D8">
      <w:pPr>
        <w:pStyle w:val="NoSpacing"/>
      </w:pPr>
      <w:r>
        <w:t xml:space="preserve"> 4.   It seeks growth by fostering higher pay, investment and productivity in the 50% of London jobs where real wages have been static or falling. It avoids the extinction of viable enterprises in industrial zones, in high streets and local centres and supports the provision of new workspace suitable for diverse activities and sectors, particularly in the foundational economy. This approach offsets the historic sectoral bias in favour of financial and business services in the centre.</w:t>
      </w:r>
    </w:p>
    <w:p w:rsidR="003157D8" w:rsidRDefault="003157D8" w:rsidP="003157D8">
      <w:pPr>
        <w:pStyle w:val="NoSpacing"/>
      </w:pPr>
      <w:r>
        <w:tab/>
      </w:r>
    </w:p>
    <w:p w:rsidR="003157D8" w:rsidRDefault="003157D8" w:rsidP="003157D8">
      <w:pPr>
        <w:pStyle w:val="NoSpacing"/>
      </w:pPr>
      <w:r>
        <w:t xml:space="preserve"> 5.   To achieve a balanced polycentric development the public transport priorities will be orbital movement plus walking and cycling, with investment directed towards smaller scale infrastructure rather than commuter routes such as Crossrail 2. This connects well with the aim of protecting more workplaces outside the centre and with the Lifetime Neighbourhood and Lifetime Suburbs objectives, increasing accessibility and connectivity locally.</w:t>
      </w:r>
    </w:p>
    <w:p w:rsidR="003157D8" w:rsidRDefault="003157D8" w:rsidP="003157D8">
      <w:pPr>
        <w:pStyle w:val="NoSpacing"/>
      </w:pPr>
      <w:r>
        <w:tab/>
      </w:r>
    </w:p>
    <w:p w:rsidR="003157D8" w:rsidRDefault="003157D8" w:rsidP="003157D8">
      <w:pPr>
        <w:pStyle w:val="NoSpacing"/>
      </w:pPr>
      <w:r>
        <w:t>6.   All parts of London (central, inner and outer London and the more affluent geographic areas within Boroughs) will contribute in an equitable way to meeting London’s housing needs. There will be a high percentage of not-for-profit rented homes everywhere, the cessation of estate renewal on current terms (which entails demolition/eviction and big net losses of existing social rented housing in geographical areas where there is a high concentration of working class and minority ethnic communities) and direct development by GLA and Councils of not-for-profit rented housing on public land as a matter of urgency;</w:t>
      </w:r>
    </w:p>
    <w:p w:rsidR="003157D8" w:rsidRDefault="003157D8" w:rsidP="003157D8">
      <w:pPr>
        <w:pStyle w:val="NoSpacing"/>
      </w:pPr>
      <w:r>
        <w:tab/>
      </w:r>
    </w:p>
    <w:p w:rsidR="003157D8" w:rsidRDefault="003157D8" w:rsidP="003157D8">
      <w:pPr>
        <w:pStyle w:val="NoSpacing"/>
      </w:pPr>
      <w:r>
        <w:t>7. A continuous process of engagement will give voice and agency to all Londoners with a geographically dispersed model of hubs instead of all connections and resources being targeted at a central hub. Targeting areas of need will close deprivation gaps by measures that raise the Quality of Life of existing communities rather than through their dispersal/displacement. Programmes will be provided so that areas with a high concentration of working class and minority ethnic communities can access the participation tools that are available, such as community rights under the Localism Act.</w:t>
      </w:r>
    </w:p>
    <w:p w:rsidR="009F2D02" w:rsidRDefault="009F2D02" w:rsidP="00596DAE">
      <w:pPr>
        <w:pStyle w:val="NoSpacing"/>
        <w:jc w:val="center"/>
        <w:rPr>
          <w:b/>
          <w:sz w:val="28"/>
          <w:szCs w:val="28"/>
        </w:rPr>
      </w:pPr>
    </w:p>
    <w:p w:rsidR="000C440F" w:rsidRPr="00596DAE" w:rsidRDefault="003157D8" w:rsidP="00596DAE">
      <w:pPr>
        <w:pStyle w:val="NoSpacing"/>
        <w:jc w:val="center"/>
        <w:rPr>
          <w:b/>
          <w:sz w:val="28"/>
          <w:szCs w:val="28"/>
        </w:rPr>
      </w:pPr>
      <w:r w:rsidRPr="00596DAE">
        <w:rPr>
          <w:b/>
          <w:sz w:val="28"/>
          <w:szCs w:val="28"/>
        </w:rPr>
        <w:t>Appendix: Just Space Analysis of Guidance</w:t>
      </w:r>
    </w:p>
    <w:p w:rsidR="000C440F" w:rsidRDefault="000C440F" w:rsidP="002F2C57">
      <w:pPr>
        <w:pStyle w:val="NoSpacing"/>
      </w:pPr>
    </w:p>
    <w:p w:rsidR="000C440F" w:rsidRPr="000C440F" w:rsidRDefault="000C440F" w:rsidP="000C440F">
      <w:pPr>
        <w:rPr>
          <w:rFonts w:cstheme="minorHAnsi"/>
          <w:b/>
        </w:rPr>
      </w:pPr>
      <w:r w:rsidRPr="000C440F">
        <w:rPr>
          <w:rFonts w:cstheme="minorHAnsi"/>
          <w:b/>
        </w:rPr>
        <w:t>Involvement of the public at Stage A: Setting the context and objectives, establishing the baseline and deciding on the scope</w:t>
      </w:r>
    </w:p>
    <w:p w:rsidR="000C440F" w:rsidRPr="000C440F" w:rsidRDefault="000C440F" w:rsidP="000C440F">
      <w:pPr>
        <w:autoSpaceDE w:val="0"/>
        <w:autoSpaceDN w:val="0"/>
        <w:adjustRightInd w:val="0"/>
        <w:spacing w:after="0" w:line="240" w:lineRule="auto"/>
        <w:rPr>
          <w:rFonts w:cstheme="minorHAnsi"/>
          <w:i/>
        </w:rPr>
      </w:pPr>
      <w:r w:rsidRPr="000C440F">
        <w:rPr>
          <w:rFonts w:cstheme="minorHAnsi"/>
          <w:i/>
        </w:rPr>
        <w:t>Just Space comment: Stage A identifies other relevant policies, plans, environmental protection objectives and the current state of the environment – baseline information and environmental problems; develops SEA objectives; and consults on the scope of the assessment.</w:t>
      </w:r>
    </w:p>
    <w:p w:rsidR="000C440F" w:rsidRPr="000C440F" w:rsidRDefault="000C440F" w:rsidP="000C440F">
      <w:pPr>
        <w:autoSpaceDE w:val="0"/>
        <w:autoSpaceDN w:val="0"/>
        <w:adjustRightInd w:val="0"/>
        <w:spacing w:after="0" w:line="240" w:lineRule="auto"/>
        <w:rPr>
          <w:rFonts w:cstheme="minorHAnsi"/>
        </w:rPr>
      </w:pPr>
      <w:r w:rsidRPr="000C440F">
        <w:rPr>
          <w:rFonts w:cstheme="minorHAnsi"/>
        </w:rPr>
        <w:t xml:space="preserve">Fig 1 – The SEA Directive’s Requirements on Consultation                                </w:t>
      </w:r>
      <w:proofErr w:type="gramStart"/>
      <w:r w:rsidRPr="000C440F">
        <w:rPr>
          <w:rFonts w:cstheme="minorHAnsi"/>
        </w:rPr>
        <w:t>At</w:t>
      </w:r>
      <w:proofErr w:type="gramEnd"/>
      <w:r w:rsidRPr="000C440F">
        <w:rPr>
          <w:rFonts w:cstheme="minorHAnsi"/>
        </w:rPr>
        <w:t xml:space="preserve"> Stage A (scoping stage)</w:t>
      </w:r>
    </w:p>
    <w:p w:rsidR="000C440F" w:rsidRPr="000C440F" w:rsidRDefault="000C440F" w:rsidP="000C440F">
      <w:pPr>
        <w:autoSpaceDE w:val="0"/>
        <w:autoSpaceDN w:val="0"/>
        <w:adjustRightInd w:val="0"/>
        <w:spacing w:after="0" w:line="240" w:lineRule="auto"/>
        <w:rPr>
          <w:rFonts w:cstheme="minorHAnsi"/>
        </w:rPr>
      </w:pPr>
      <w:r w:rsidRPr="000C440F">
        <w:rPr>
          <w:rFonts w:cstheme="minorHAnsi"/>
        </w:rPr>
        <w:t xml:space="preserve">• </w:t>
      </w:r>
      <w:proofErr w:type="gramStart"/>
      <w:r w:rsidRPr="000C440F">
        <w:rPr>
          <w:rFonts w:cstheme="minorHAnsi"/>
        </w:rPr>
        <w:t>authorities</w:t>
      </w:r>
      <w:proofErr w:type="gramEnd"/>
      <w:r w:rsidRPr="000C440F">
        <w:rPr>
          <w:rFonts w:cstheme="minorHAnsi"/>
        </w:rPr>
        <w:t xml:space="preserve"> with environmental responsibility, when deciding on the scope and level of detail of the information to be included in the environmental report (Art. 5.4).             [</w:t>
      </w:r>
      <w:proofErr w:type="gramStart"/>
      <w:r w:rsidRPr="000C440F">
        <w:rPr>
          <w:rFonts w:cstheme="minorHAnsi"/>
        </w:rPr>
        <w:t>p10</w:t>
      </w:r>
      <w:proofErr w:type="gramEnd"/>
      <w:r w:rsidRPr="000C440F">
        <w:rPr>
          <w:rFonts w:cstheme="minorHAnsi"/>
        </w:rPr>
        <w:t xml:space="preserve"> ODPM Practical Guide]           </w:t>
      </w:r>
    </w:p>
    <w:p w:rsidR="000C440F" w:rsidRPr="000C440F" w:rsidRDefault="000C440F" w:rsidP="000C440F">
      <w:pPr>
        <w:rPr>
          <w:rFonts w:cstheme="minorHAnsi"/>
        </w:rPr>
      </w:pPr>
      <w:r w:rsidRPr="000C440F">
        <w:rPr>
          <w:rFonts w:cstheme="minorHAnsi"/>
        </w:rPr>
        <w:t xml:space="preserve">                                                                                                                                                                                 </w:t>
      </w:r>
      <w:r w:rsidRPr="000C440F">
        <w:rPr>
          <w:rFonts w:cstheme="minorHAnsi"/>
          <w:i/>
        </w:rPr>
        <w:t xml:space="preserve">But see also para 5.A.2                                                                                                                          </w:t>
      </w:r>
      <w:r w:rsidRPr="000C440F">
        <w:t>Responsible Authorities need to consider what information they already have and what more they will need. They may already hold useful information, for example from environmental assessments of previous plans or programmes. It may be useful to consult the public at this stage to seek additional information and initial opinions.                                                 [</w:t>
      </w:r>
      <w:r w:rsidRPr="000C440F">
        <w:rPr>
          <w:rFonts w:cstheme="minorHAnsi"/>
        </w:rPr>
        <w:t>[</w:t>
      </w:r>
      <w:proofErr w:type="gramStart"/>
      <w:r w:rsidRPr="000C440F">
        <w:rPr>
          <w:rFonts w:cstheme="minorHAnsi"/>
        </w:rPr>
        <w:t>p26</w:t>
      </w:r>
      <w:proofErr w:type="gramEnd"/>
      <w:r w:rsidRPr="000C440F">
        <w:rPr>
          <w:rFonts w:cstheme="minorHAnsi"/>
        </w:rPr>
        <w:t xml:space="preserve"> ODPM Practical Guide]</w:t>
      </w:r>
    </w:p>
    <w:p w:rsidR="000C440F" w:rsidRPr="000C440F" w:rsidRDefault="000C440F" w:rsidP="000C440F">
      <w:pPr>
        <w:spacing w:after="0" w:line="240" w:lineRule="auto"/>
        <w:rPr>
          <w:i/>
        </w:rPr>
      </w:pPr>
      <w:r w:rsidRPr="000C440F">
        <w:rPr>
          <w:i/>
        </w:rPr>
        <w:t xml:space="preserve">And Appendix 3  </w:t>
      </w:r>
    </w:p>
    <w:p w:rsidR="000C440F" w:rsidRPr="000C440F" w:rsidRDefault="000C440F" w:rsidP="000C440F">
      <w:pPr>
        <w:spacing w:after="0" w:line="240" w:lineRule="auto"/>
      </w:pPr>
      <w:r w:rsidRPr="000C440F">
        <w:t>• Other consultees, including representative bodies and members of the public, who often have a wealth of knowledge and understanding of the strategy or plan area, e.g. local conservation groups.</w:t>
      </w:r>
    </w:p>
    <w:p w:rsidR="000C440F" w:rsidRPr="000C440F" w:rsidRDefault="000C440F" w:rsidP="000C440F">
      <w:pPr>
        <w:rPr>
          <w:i/>
        </w:rPr>
      </w:pPr>
    </w:p>
    <w:p w:rsidR="000C440F" w:rsidRPr="000C440F" w:rsidRDefault="000C440F" w:rsidP="000C440F">
      <w:pPr>
        <w:rPr>
          <w:rFonts w:cstheme="minorHAnsi"/>
          <w:b/>
        </w:rPr>
      </w:pPr>
      <w:r w:rsidRPr="000C440F">
        <w:rPr>
          <w:rFonts w:cstheme="minorHAnsi"/>
          <w:b/>
        </w:rPr>
        <w:t>Involvement of the public at Stage B: developing and refining alternatives and assessing effects</w:t>
      </w:r>
    </w:p>
    <w:p w:rsidR="000C440F" w:rsidRPr="000C440F" w:rsidRDefault="000C440F" w:rsidP="000C440F">
      <w:pPr>
        <w:autoSpaceDE w:val="0"/>
        <w:autoSpaceDN w:val="0"/>
        <w:adjustRightInd w:val="0"/>
        <w:spacing w:after="0" w:line="240" w:lineRule="auto"/>
        <w:rPr>
          <w:rFonts w:cstheme="minorHAnsi"/>
          <w:i/>
        </w:rPr>
      </w:pPr>
      <w:r w:rsidRPr="000C440F">
        <w:rPr>
          <w:rFonts w:cstheme="minorHAnsi"/>
          <w:i/>
        </w:rPr>
        <w:t>Just Space comment: Stage B tests the plan’s objectives against the SEA objectives; develops strategic options including reasonable alternatives, predicts/evaluates the effects of the plan and alternatives, considers mitigating and maximising beneficial effects; and proposes monitoring measures.</w:t>
      </w:r>
    </w:p>
    <w:p w:rsidR="000C440F" w:rsidRPr="000C440F" w:rsidRDefault="000C440F" w:rsidP="000C440F">
      <w:pPr>
        <w:autoSpaceDE w:val="0"/>
        <w:autoSpaceDN w:val="0"/>
        <w:adjustRightInd w:val="0"/>
        <w:spacing w:after="0" w:line="240" w:lineRule="auto"/>
        <w:rPr>
          <w:rFonts w:cstheme="minorHAnsi"/>
        </w:rPr>
      </w:pPr>
      <w:r w:rsidRPr="000C440F">
        <w:rPr>
          <w:rFonts w:cstheme="minorHAnsi"/>
        </w:rPr>
        <w:t>Fig 1 – The SEA Directive’s Requirements on Consultation                                                    At Stages B, D</w:t>
      </w:r>
    </w:p>
    <w:p w:rsidR="000C440F" w:rsidRPr="000C440F" w:rsidRDefault="000C440F" w:rsidP="000C440F">
      <w:pPr>
        <w:autoSpaceDE w:val="0"/>
        <w:autoSpaceDN w:val="0"/>
        <w:adjustRightInd w:val="0"/>
        <w:spacing w:after="0" w:line="240" w:lineRule="auto"/>
        <w:rPr>
          <w:rFonts w:cstheme="minorHAnsi"/>
        </w:rPr>
      </w:pPr>
      <w:r w:rsidRPr="000C440F">
        <w:rPr>
          <w:rFonts w:cstheme="minorHAnsi"/>
        </w:rPr>
        <w:t>• authorities with environmental responsibility and the public shall be given an early and effective opportunity within appropriate time frames to express their opinion on the draft plan or programme and the accompanying environmental report before the adoption of the plan or programme          (Art. 6.1, 6.2).                                                                                                          [</w:t>
      </w:r>
      <w:proofErr w:type="gramStart"/>
      <w:r w:rsidRPr="000C440F">
        <w:rPr>
          <w:rFonts w:cstheme="minorHAnsi"/>
        </w:rPr>
        <w:t>p10</w:t>
      </w:r>
      <w:proofErr w:type="gramEnd"/>
      <w:r w:rsidRPr="000C440F">
        <w:rPr>
          <w:rFonts w:cstheme="minorHAnsi"/>
        </w:rPr>
        <w:t xml:space="preserve"> ODPM Practical Guide]</w:t>
      </w:r>
    </w:p>
    <w:p w:rsidR="000C440F" w:rsidRPr="000C440F" w:rsidRDefault="000C440F" w:rsidP="000C440F">
      <w:pPr>
        <w:autoSpaceDE w:val="0"/>
        <w:autoSpaceDN w:val="0"/>
        <w:adjustRightInd w:val="0"/>
        <w:spacing w:after="0" w:line="240" w:lineRule="auto"/>
        <w:rPr>
          <w:rFonts w:cstheme="minorHAnsi"/>
        </w:rPr>
      </w:pPr>
    </w:p>
    <w:p w:rsidR="000C440F" w:rsidRPr="000C440F" w:rsidRDefault="000C440F" w:rsidP="000C440F">
      <w:pPr>
        <w:rPr>
          <w:rFonts w:cstheme="minorHAnsi"/>
        </w:rPr>
      </w:pPr>
      <w:r w:rsidRPr="000C440F">
        <w:rPr>
          <w:rFonts w:cstheme="minorHAnsi"/>
        </w:rPr>
        <w:t xml:space="preserve">Appendix 6 developing and </w:t>
      </w:r>
      <w:proofErr w:type="spellStart"/>
      <w:r w:rsidRPr="000C440F">
        <w:rPr>
          <w:rFonts w:cstheme="minorHAnsi"/>
        </w:rPr>
        <w:t>assessing</w:t>
      </w:r>
      <w:proofErr w:type="spellEnd"/>
      <w:r w:rsidRPr="000C440F">
        <w:rPr>
          <w:rFonts w:cstheme="minorHAnsi"/>
        </w:rPr>
        <w:t xml:space="preserve"> alternatives</w:t>
      </w:r>
    </w:p>
    <w:p w:rsidR="000C440F" w:rsidRPr="000C440F" w:rsidRDefault="000C440F" w:rsidP="000C440F">
      <w:pPr>
        <w:spacing w:after="0" w:line="240" w:lineRule="auto"/>
      </w:pPr>
      <w:r w:rsidRPr="000C440F">
        <w:t>“Stakeholders may usefully be involved in the generation and assessment of both strategic and</w:t>
      </w:r>
    </w:p>
    <w:p w:rsidR="000C440F" w:rsidRPr="000C440F" w:rsidRDefault="000C440F" w:rsidP="000C440F">
      <w:pPr>
        <w:spacing w:after="0" w:line="240" w:lineRule="auto"/>
      </w:pPr>
      <w:proofErr w:type="gramStart"/>
      <w:r w:rsidRPr="000C440F">
        <w:t>more</w:t>
      </w:r>
      <w:proofErr w:type="gramEnd"/>
      <w:r w:rsidRPr="000C440F">
        <w:t xml:space="preserve"> detailed alternatives through consultation. Demonstrating that there are choices to be</w:t>
      </w:r>
    </w:p>
    <w:p w:rsidR="000C440F" w:rsidRPr="000C440F" w:rsidRDefault="000C440F" w:rsidP="000C440F">
      <w:pPr>
        <w:spacing w:after="0" w:line="240" w:lineRule="auto"/>
      </w:pPr>
      <w:proofErr w:type="gramStart"/>
      <w:r w:rsidRPr="000C440F">
        <w:t>made</w:t>
      </w:r>
      <w:proofErr w:type="gramEnd"/>
      <w:r w:rsidRPr="000C440F">
        <w:t xml:space="preserve"> is an effective way of engaging stakeholders in the process. The alternatives considered</w:t>
      </w:r>
    </w:p>
    <w:p w:rsidR="000C440F" w:rsidRPr="000C440F" w:rsidRDefault="000C440F" w:rsidP="000C440F">
      <w:pPr>
        <w:spacing w:after="0" w:line="240" w:lineRule="auto"/>
      </w:pPr>
      <w:proofErr w:type="gramStart"/>
      <w:r w:rsidRPr="000C440F">
        <w:t>throughout</w:t>
      </w:r>
      <w:proofErr w:type="gramEnd"/>
      <w:r w:rsidRPr="000C440F">
        <w:t xml:space="preserve"> the process must be documented and reasons given on why they are or are not</w:t>
      </w:r>
    </w:p>
    <w:p w:rsidR="000C440F" w:rsidRPr="000C440F" w:rsidRDefault="000C440F" w:rsidP="000C440F">
      <w:pPr>
        <w:spacing w:after="0" w:line="240" w:lineRule="auto"/>
      </w:pPr>
      <w:proofErr w:type="gramStart"/>
      <w:r w:rsidRPr="000C440F">
        <w:t>taken</w:t>
      </w:r>
      <w:proofErr w:type="gramEnd"/>
      <w:r w:rsidRPr="000C440F">
        <w:t xml:space="preserve"> forward.”                                                                                                      [</w:t>
      </w:r>
      <w:proofErr w:type="gramStart"/>
      <w:r w:rsidRPr="000C440F">
        <w:t>p69</w:t>
      </w:r>
      <w:proofErr w:type="gramEnd"/>
      <w:r w:rsidRPr="000C440F">
        <w:t xml:space="preserve"> ODPM Practical Guide]</w:t>
      </w:r>
    </w:p>
    <w:p w:rsidR="000C440F" w:rsidRPr="000C440F" w:rsidRDefault="000C440F" w:rsidP="000C440F">
      <w:pPr>
        <w:rPr>
          <w:rFonts w:cstheme="minorHAnsi"/>
        </w:rPr>
      </w:pPr>
      <w:r w:rsidRPr="000C440F">
        <w:rPr>
          <w:rFonts w:cstheme="minorHAnsi"/>
        </w:rPr>
        <w:t xml:space="preserve">                                           </w:t>
      </w:r>
    </w:p>
    <w:p w:rsidR="000C440F" w:rsidRDefault="000C440F" w:rsidP="000C440F">
      <w:pPr>
        <w:rPr>
          <w:rFonts w:cstheme="minorHAnsi"/>
        </w:rPr>
      </w:pPr>
      <w:r w:rsidRPr="000C440F">
        <w:rPr>
          <w:rFonts w:cstheme="minorHAnsi"/>
        </w:rPr>
        <w:t xml:space="preserve"> </w:t>
      </w:r>
      <w:r w:rsidR="00D80CF5">
        <w:rPr>
          <w:rFonts w:cstheme="minorHAnsi"/>
        </w:rPr>
        <w:t xml:space="preserve">Sample </w:t>
      </w:r>
      <w:proofErr w:type="spellStart"/>
      <w:r w:rsidR="009F2D02">
        <w:rPr>
          <w:rFonts w:cstheme="minorHAnsi"/>
        </w:rPr>
        <w:t>Matricies</w:t>
      </w:r>
      <w:proofErr w:type="spellEnd"/>
    </w:p>
    <w:p w:rsidR="000C440F" w:rsidRPr="000C440F" w:rsidRDefault="00D80CF5" w:rsidP="00D80CF5">
      <w:pPr>
        <w:rPr>
          <w:rFonts w:ascii="Arial" w:hAnsi="Arial" w:cs="Arial"/>
          <w:b/>
          <w:color w:val="000000"/>
        </w:rPr>
      </w:pPr>
      <w:r>
        <w:rPr>
          <w:rFonts w:cstheme="minorHAnsi"/>
        </w:rPr>
        <w:t>Policy H10</w:t>
      </w:r>
      <w:r>
        <w:rPr>
          <w:noProof/>
          <w:lang w:eastAsia="en-GB"/>
        </w:rPr>
        <w:drawing>
          <wp:inline distT="0" distB="0" distL="0" distR="0" wp14:anchorId="11EA0448" wp14:editId="59B30556">
            <wp:extent cx="6070600" cy="4114800"/>
            <wp:effectExtent l="0" t="0" r="6350" b="0"/>
            <wp:docPr id="206" name="Shape 206"/>
            <wp:cNvGraphicFramePr/>
            <a:graphic xmlns:a="http://schemas.openxmlformats.org/drawingml/2006/main">
              <a:graphicData uri="http://schemas.openxmlformats.org/drawingml/2006/picture">
                <pic:pic xmlns:pic="http://schemas.openxmlformats.org/drawingml/2006/picture">
                  <pic:nvPicPr>
                    <pic:cNvPr id="206" name="Shape 206"/>
                    <pic:cNvPicPr preferRelativeResize="0"/>
                  </pic:nvPicPr>
                  <pic:blipFill>
                    <a:blip r:embed="rId8">
                      <a:alphaModFix/>
                    </a:blip>
                    <a:stretch>
                      <a:fillRect/>
                    </a:stretch>
                  </pic:blipFill>
                  <pic:spPr>
                    <a:xfrm>
                      <a:off x="0" y="0"/>
                      <a:ext cx="6077863" cy="4119723"/>
                    </a:xfrm>
                    <a:prstGeom prst="rect">
                      <a:avLst/>
                    </a:prstGeom>
                    <a:noFill/>
                    <a:ln>
                      <a:noFill/>
                    </a:ln>
                  </pic:spPr>
                </pic:pic>
              </a:graphicData>
            </a:graphic>
          </wp:inline>
        </w:drawing>
      </w:r>
    </w:p>
    <w:p w:rsidR="000C440F" w:rsidRPr="000C440F" w:rsidRDefault="000C440F" w:rsidP="000C440F">
      <w:pPr>
        <w:widowControl w:val="0"/>
        <w:numPr>
          <w:ilvl w:val="1"/>
          <w:numId w:val="3"/>
        </w:numPr>
        <w:autoSpaceDE w:val="0"/>
        <w:autoSpaceDN w:val="0"/>
        <w:adjustRightInd w:val="0"/>
        <w:spacing w:after="0" w:line="240" w:lineRule="auto"/>
        <w:rPr>
          <w:rFonts w:ascii="Arial" w:hAnsi="Arial" w:cs="Arial"/>
          <w:b/>
          <w:color w:val="000000"/>
        </w:rPr>
      </w:pPr>
    </w:p>
    <w:p w:rsidR="000C440F" w:rsidRDefault="000C440F"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Default="00FA6BDB" w:rsidP="00FA6BDB">
      <w:pPr>
        <w:widowControl w:val="0"/>
        <w:autoSpaceDE w:val="0"/>
        <w:autoSpaceDN w:val="0"/>
        <w:adjustRightInd w:val="0"/>
        <w:spacing w:after="0" w:line="240" w:lineRule="auto"/>
        <w:rPr>
          <w:rFonts w:ascii="Arial" w:hAnsi="Arial" w:cs="Arial"/>
          <w:b/>
          <w:color w:val="000000"/>
        </w:rPr>
      </w:pPr>
    </w:p>
    <w:p w:rsidR="00FA6BDB" w:rsidRPr="000C440F" w:rsidRDefault="00FA6BDB" w:rsidP="00FA6BDB">
      <w:pPr>
        <w:widowControl w:val="0"/>
        <w:autoSpaceDE w:val="0"/>
        <w:autoSpaceDN w:val="0"/>
        <w:adjustRightInd w:val="0"/>
        <w:spacing w:after="0" w:line="240" w:lineRule="auto"/>
        <w:rPr>
          <w:rFonts w:ascii="Arial" w:hAnsi="Arial" w:cs="Arial"/>
          <w:b/>
          <w:color w:val="000000"/>
        </w:rPr>
      </w:pPr>
    </w:p>
    <w:p w:rsidR="000C440F" w:rsidRPr="000C440F" w:rsidRDefault="00FA6BDB" w:rsidP="000C440F">
      <w:pPr>
        <w:widowControl w:val="0"/>
        <w:autoSpaceDE w:val="0"/>
        <w:autoSpaceDN w:val="0"/>
        <w:adjustRightInd w:val="0"/>
        <w:spacing w:after="0" w:line="240" w:lineRule="auto"/>
        <w:rPr>
          <w:rFonts w:ascii="Times New Roman" w:eastAsiaTheme="minorEastAsia" w:hAnsi="Times New Roman" w:cs="Times New Roman"/>
          <w:sz w:val="20"/>
          <w:szCs w:val="20"/>
          <w:lang w:eastAsia="en-GB"/>
        </w:rPr>
      </w:pPr>
      <w:r>
        <w:rPr>
          <w:rFonts w:ascii="Times New Roman" w:eastAsiaTheme="minorEastAsia" w:hAnsi="Times New Roman" w:cs="Times New Roman"/>
          <w:sz w:val="20"/>
          <w:szCs w:val="20"/>
          <w:lang w:eastAsia="en-GB"/>
        </w:rPr>
        <w:t>Policy DF1</w:t>
      </w:r>
    </w:p>
    <w:p w:rsidR="00D80CF5" w:rsidRDefault="00D80CF5" w:rsidP="002F2C57">
      <w:pPr>
        <w:pStyle w:val="NoSpacing"/>
        <w:rPr>
          <w:noProof/>
          <w:lang w:eastAsia="en-GB"/>
        </w:rPr>
      </w:pPr>
    </w:p>
    <w:p w:rsidR="00D80CF5" w:rsidRDefault="00D80CF5" w:rsidP="002F2C57">
      <w:pPr>
        <w:pStyle w:val="NoSpacing"/>
        <w:rPr>
          <w:noProof/>
          <w:lang w:eastAsia="en-GB"/>
        </w:rPr>
      </w:pPr>
    </w:p>
    <w:p w:rsidR="000C440F" w:rsidRDefault="00D80CF5" w:rsidP="002F2C57">
      <w:pPr>
        <w:pStyle w:val="NoSpacing"/>
      </w:pPr>
      <w:r>
        <w:rPr>
          <w:noProof/>
          <w:lang w:eastAsia="en-GB"/>
        </w:rPr>
        <w:drawing>
          <wp:inline distT="0" distB="0" distL="0" distR="0" wp14:anchorId="47E8572A" wp14:editId="3764D3E1">
            <wp:extent cx="6108700" cy="4216400"/>
            <wp:effectExtent l="0" t="0" r="6350" b="0"/>
            <wp:docPr id="235" name="Shape 235"/>
            <wp:cNvGraphicFramePr/>
            <a:graphic xmlns:a="http://schemas.openxmlformats.org/drawingml/2006/main">
              <a:graphicData uri="http://schemas.openxmlformats.org/drawingml/2006/picture">
                <pic:pic xmlns:pic="http://schemas.openxmlformats.org/drawingml/2006/picture">
                  <pic:nvPicPr>
                    <pic:cNvPr id="235" name="Shape 235"/>
                    <pic:cNvPicPr preferRelativeResize="0"/>
                  </pic:nvPicPr>
                  <pic:blipFill rotWithShape="1">
                    <a:blip r:embed="rId9">
                      <a:alphaModFix/>
                    </a:blip>
                    <a:srcRect/>
                    <a:stretch/>
                  </pic:blipFill>
                  <pic:spPr>
                    <a:xfrm>
                      <a:off x="0" y="0"/>
                      <a:ext cx="6108700" cy="4216400"/>
                    </a:xfrm>
                    <a:prstGeom prst="rect">
                      <a:avLst/>
                    </a:prstGeom>
                    <a:noFill/>
                    <a:ln>
                      <a:noFill/>
                    </a:ln>
                  </pic:spPr>
                </pic:pic>
              </a:graphicData>
            </a:graphic>
          </wp:inline>
        </w:drawing>
      </w:r>
    </w:p>
    <w:sectPr w:rsidR="000C4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9DCBE"/>
    <w:multiLevelType w:val="hybridMultilevel"/>
    <w:tmpl w:val="814AD5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E1CED"/>
    <w:multiLevelType w:val="multilevel"/>
    <w:tmpl w:val="C186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D11D7"/>
    <w:multiLevelType w:val="hybridMultilevel"/>
    <w:tmpl w:val="8048D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8603D0"/>
    <w:multiLevelType w:val="hybridMultilevel"/>
    <w:tmpl w:val="3776207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3E16E3"/>
    <w:multiLevelType w:val="hybridMultilevel"/>
    <w:tmpl w:val="9C54E09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4F7799"/>
    <w:multiLevelType w:val="multilevel"/>
    <w:tmpl w:val="EC82F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00"/>
    <w:rsid w:val="00055912"/>
    <w:rsid w:val="0008786F"/>
    <w:rsid w:val="000C440F"/>
    <w:rsid w:val="002B6D00"/>
    <w:rsid w:val="002F2C57"/>
    <w:rsid w:val="003157D8"/>
    <w:rsid w:val="00450EB7"/>
    <w:rsid w:val="00596DAE"/>
    <w:rsid w:val="00734689"/>
    <w:rsid w:val="0078329A"/>
    <w:rsid w:val="007F4DE8"/>
    <w:rsid w:val="00883254"/>
    <w:rsid w:val="009F2D02"/>
    <w:rsid w:val="00BB7A16"/>
    <w:rsid w:val="00C91A8B"/>
    <w:rsid w:val="00CE60CE"/>
    <w:rsid w:val="00D05322"/>
    <w:rsid w:val="00D80CF5"/>
    <w:rsid w:val="00E328F5"/>
    <w:rsid w:val="00F9118C"/>
    <w:rsid w:val="00FA6BDB"/>
    <w:rsid w:val="00FD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254"/>
    <w:pPr>
      <w:spacing w:after="0" w:line="240" w:lineRule="auto"/>
    </w:pPr>
  </w:style>
  <w:style w:type="paragraph" w:styleId="ListParagraph">
    <w:name w:val="List Paragraph"/>
    <w:basedOn w:val="Normal"/>
    <w:uiPriority w:val="34"/>
    <w:qFormat/>
    <w:rsid w:val="00596DAE"/>
    <w:pPr>
      <w:ind w:left="720"/>
      <w:contextualSpacing/>
    </w:pPr>
  </w:style>
  <w:style w:type="paragraph" w:styleId="BalloonText">
    <w:name w:val="Balloon Text"/>
    <w:basedOn w:val="Normal"/>
    <w:link w:val="BalloonTextChar"/>
    <w:uiPriority w:val="99"/>
    <w:semiHidden/>
    <w:unhideWhenUsed/>
    <w:rsid w:val="00D80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F5"/>
    <w:rPr>
      <w:rFonts w:ascii="Tahoma" w:hAnsi="Tahoma" w:cs="Tahoma"/>
      <w:sz w:val="16"/>
      <w:szCs w:val="16"/>
    </w:rPr>
  </w:style>
  <w:style w:type="character" w:styleId="Hyperlink">
    <w:name w:val="Hyperlink"/>
    <w:basedOn w:val="DefaultParagraphFont"/>
    <w:uiPriority w:val="99"/>
    <w:unhideWhenUsed/>
    <w:rsid w:val="00FD40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254"/>
    <w:pPr>
      <w:spacing w:after="0" w:line="240" w:lineRule="auto"/>
    </w:pPr>
  </w:style>
  <w:style w:type="paragraph" w:styleId="ListParagraph">
    <w:name w:val="List Paragraph"/>
    <w:basedOn w:val="Normal"/>
    <w:uiPriority w:val="34"/>
    <w:qFormat/>
    <w:rsid w:val="00596DAE"/>
    <w:pPr>
      <w:ind w:left="720"/>
      <w:contextualSpacing/>
    </w:pPr>
  </w:style>
  <w:style w:type="paragraph" w:styleId="BalloonText">
    <w:name w:val="Balloon Text"/>
    <w:basedOn w:val="Normal"/>
    <w:link w:val="BalloonTextChar"/>
    <w:uiPriority w:val="99"/>
    <w:semiHidden/>
    <w:unhideWhenUsed/>
    <w:rsid w:val="00D80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F5"/>
    <w:rPr>
      <w:rFonts w:ascii="Tahoma" w:hAnsi="Tahoma" w:cs="Tahoma"/>
      <w:sz w:val="16"/>
      <w:szCs w:val="16"/>
    </w:rPr>
  </w:style>
  <w:style w:type="character" w:styleId="Hyperlink">
    <w:name w:val="Hyperlink"/>
    <w:basedOn w:val="DefaultParagraphFont"/>
    <w:uiPriority w:val="99"/>
    <w:unhideWhenUsed/>
    <w:rsid w:val="00FD40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10656">
      <w:bodyDiv w:val="1"/>
      <w:marLeft w:val="0"/>
      <w:marRight w:val="0"/>
      <w:marTop w:val="0"/>
      <w:marBottom w:val="0"/>
      <w:divBdr>
        <w:top w:val="none" w:sz="0" w:space="0" w:color="auto"/>
        <w:left w:val="none" w:sz="0" w:space="0" w:color="auto"/>
        <w:bottom w:val="none" w:sz="0" w:space="0" w:color="auto"/>
        <w:right w:val="none" w:sz="0" w:space="0" w:color="auto"/>
      </w:divBdr>
      <w:divsChild>
        <w:div w:id="1656686307">
          <w:marLeft w:val="0"/>
          <w:marRight w:val="0"/>
          <w:marTop w:val="0"/>
          <w:marBottom w:val="0"/>
          <w:divBdr>
            <w:top w:val="none" w:sz="0" w:space="0" w:color="auto"/>
            <w:left w:val="none" w:sz="0" w:space="0" w:color="auto"/>
            <w:bottom w:val="none" w:sz="0" w:space="0" w:color="auto"/>
            <w:right w:val="none" w:sz="0" w:space="0" w:color="auto"/>
          </w:divBdr>
          <w:divsChild>
            <w:div w:id="821121940">
              <w:marLeft w:val="0"/>
              <w:marRight w:val="0"/>
              <w:marTop w:val="0"/>
              <w:marBottom w:val="0"/>
              <w:divBdr>
                <w:top w:val="none" w:sz="0" w:space="0" w:color="auto"/>
                <w:left w:val="none" w:sz="0" w:space="0" w:color="auto"/>
                <w:bottom w:val="none" w:sz="0" w:space="0" w:color="auto"/>
                <w:right w:val="none" w:sz="0" w:space="0" w:color="auto"/>
              </w:divBdr>
            </w:div>
            <w:div w:id="2115855000">
              <w:marLeft w:val="0"/>
              <w:marRight w:val="0"/>
              <w:marTop w:val="0"/>
              <w:marBottom w:val="0"/>
              <w:divBdr>
                <w:top w:val="none" w:sz="0" w:space="0" w:color="auto"/>
                <w:left w:val="none" w:sz="0" w:space="0" w:color="auto"/>
                <w:bottom w:val="none" w:sz="0" w:space="0" w:color="auto"/>
                <w:right w:val="none" w:sz="0" w:space="0" w:color="auto"/>
              </w:divBdr>
            </w:div>
            <w:div w:id="420033118">
              <w:marLeft w:val="0"/>
              <w:marRight w:val="0"/>
              <w:marTop w:val="0"/>
              <w:marBottom w:val="0"/>
              <w:divBdr>
                <w:top w:val="none" w:sz="0" w:space="0" w:color="auto"/>
                <w:left w:val="none" w:sz="0" w:space="0" w:color="auto"/>
                <w:bottom w:val="none" w:sz="0" w:space="0" w:color="auto"/>
                <w:right w:val="none" w:sz="0" w:space="0" w:color="auto"/>
              </w:divBdr>
            </w:div>
            <w:div w:id="1714429191">
              <w:marLeft w:val="0"/>
              <w:marRight w:val="0"/>
              <w:marTop w:val="0"/>
              <w:marBottom w:val="0"/>
              <w:divBdr>
                <w:top w:val="none" w:sz="0" w:space="0" w:color="auto"/>
                <w:left w:val="none" w:sz="0" w:space="0" w:color="auto"/>
                <w:bottom w:val="none" w:sz="0" w:space="0" w:color="auto"/>
                <w:right w:val="none" w:sz="0" w:space="0" w:color="auto"/>
              </w:divBdr>
            </w:div>
            <w:div w:id="747272106">
              <w:marLeft w:val="0"/>
              <w:marRight w:val="0"/>
              <w:marTop w:val="0"/>
              <w:marBottom w:val="0"/>
              <w:divBdr>
                <w:top w:val="none" w:sz="0" w:space="0" w:color="auto"/>
                <w:left w:val="none" w:sz="0" w:space="0" w:color="auto"/>
                <w:bottom w:val="none" w:sz="0" w:space="0" w:color="auto"/>
                <w:right w:val="none" w:sz="0" w:space="0" w:color="auto"/>
              </w:divBdr>
            </w:div>
            <w:div w:id="1451435701">
              <w:marLeft w:val="0"/>
              <w:marRight w:val="0"/>
              <w:marTop w:val="0"/>
              <w:marBottom w:val="0"/>
              <w:divBdr>
                <w:top w:val="none" w:sz="0" w:space="0" w:color="auto"/>
                <w:left w:val="none" w:sz="0" w:space="0" w:color="auto"/>
                <w:bottom w:val="none" w:sz="0" w:space="0" w:color="auto"/>
                <w:right w:val="none" w:sz="0" w:space="0" w:color="auto"/>
              </w:divBdr>
            </w:div>
            <w:div w:id="33580779">
              <w:marLeft w:val="0"/>
              <w:marRight w:val="0"/>
              <w:marTop w:val="0"/>
              <w:marBottom w:val="0"/>
              <w:divBdr>
                <w:top w:val="none" w:sz="0" w:space="0" w:color="auto"/>
                <w:left w:val="none" w:sz="0" w:space="0" w:color="auto"/>
                <w:bottom w:val="none" w:sz="0" w:space="0" w:color="auto"/>
                <w:right w:val="none" w:sz="0" w:space="0" w:color="auto"/>
              </w:divBdr>
            </w:div>
            <w:div w:id="2015255532">
              <w:marLeft w:val="0"/>
              <w:marRight w:val="0"/>
              <w:marTop w:val="0"/>
              <w:marBottom w:val="0"/>
              <w:divBdr>
                <w:top w:val="none" w:sz="0" w:space="0" w:color="auto"/>
                <w:left w:val="none" w:sz="0" w:space="0" w:color="auto"/>
                <w:bottom w:val="none" w:sz="0" w:space="0" w:color="auto"/>
                <w:right w:val="none" w:sz="0" w:space="0" w:color="auto"/>
              </w:divBdr>
            </w:div>
            <w:div w:id="189151655">
              <w:marLeft w:val="0"/>
              <w:marRight w:val="0"/>
              <w:marTop w:val="0"/>
              <w:marBottom w:val="0"/>
              <w:divBdr>
                <w:top w:val="none" w:sz="0" w:space="0" w:color="auto"/>
                <w:left w:val="none" w:sz="0" w:space="0" w:color="auto"/>
                <w:bottom w:val="none" w:sz="0" w:space="0" w:color="auto"/>
                <w:right w:val="none" w:sz="0" w:space="0" w:color="auto"/>
              </w:divBdr>
            </w:div>
            <w:div w:id="1643383120">
              <w:marLeft w:val="0"/>
              <w:marRight w:val="0"/>
              <w:marTop w:val="0"/>
              <w:marBottom w:val="0"/>
              <w:divBdr>
                <w:top w:val="none" w:sz="0" w:space="0" w:color="auto"/>
                <w:left w:val="none" w:sz="0" w:space="0" w:color="auto"/>
                <w:bottom w:val="none" w:sz="0" w:space="0" w:color="auto"/>
                <w:right w:val="none" w:sz="0" w:space="0" w:color="auto"/>
              </w:divBdr>
            </w:div>
            <w:div w:id="1277520967">
              <w:marLeft w:val="0"/>
              <w:marRight w:val="0"/>
              <w:marTop w:val="0"/>
              <w:marBottom w:val="0"/>
              <w:divBdr>
                <w:top w:val="none" w:sz="0" w:space="0" w:color="auto"/>
                <w:left w:val="none" w:sz="0" w:space="0" w:color="auto"/>
                <w:bottom w:val="none" w:sz="0" w:space="0" w:color="auto"/>
                <w:right w:val="none" w:sz="0" w:space="0" w:color="auto"/>
              </w:divBdr>
            </w:div>
            <w:div w:id="287710182">
              <w:marLeft w:val="0"/>
              <w:marRight w:val="0"/>
              <w:marTop w:val="0"/>
              <w:marBottom w:val="0"/>
              <w:divBdr>
                <w:top w:val="none" w:sz="0" w:space="0" w:color="auto"/>
                <w:left w:val="none" w:sz="0" w:space="0" w:color="auto"/>
                <w:bottom w:val="none" w:sz="0" w:space="0" w:color="auto"/>
                <w:right w:val="none" w:sz="0" w:space="0" w:color="auto"/>
              </w:divBdr>
            </w:div>
            <w:div w:id="1330525079">
              <w:marLeft w:val="0"/>
              <w:marRight w:val="0"/>
              <w:marTop w:val="0"/>
              <w:marBottom w:val="0"/>
              <w:divBdr>
                <w:top w:val="none" w:sz="0" w:space="0" w:color="auto"/>
                <w:left w:val="none" w:sz="0" w:space="0" w:color="auto"/>
                <w:bottom w:val="none" w:sz="0" w:space="0" w:color="auto"/>
                <w:right w:val="none" w:sz="0" w:space="0" w:color="auto"/>
              </w:divBdr>
            </w:div>
            <w:div w:id="1207567934">
              <w:marLeft w:val="0"/>
              <w:marRight w:val="0"/>
              <w:marTop w:val="0"/>
              <w:marBottom w:val="0"/>
              <w:divBdr>
                <w:top w:val="none" w:sz="0" w:space="0" w:color="auto"/>
                <w:left w:val="none" w:sz="0" w:space="0" w:color="auto"/>
                <w:bottom w:val="none" w:sz="0" w:space="0" w:color="auto"/>
                <w:right w:val="none" w:sz="0" w:space="0" w:color="auto"/>
              </w:divBdr>
            </w:div>
            <w:div w:id="189802771">
              <w:marLeft w:val="0"/>
              <w:marRight w:val="0"/>
              <w:marTop w:val="0"/>
              <w:marBottom w:val="0"/>
              <w:divBdr>
                <w:top w:val="none" w:sz="0" w:space="0" w:color="auto"/>
                <w:left w:val="none" w:sz="0" w:space="0" w:color="auto"/>
                <w:bottom w:val="none" w:sz="0" w:space="0" w:color="auto"/>
                <w:right w:val="none" w:sz="0" w:space="0" w:color="auto"/>
              </w:divBdr>
            </w:div>
            <w:div w:id="1112626542">
              <w:marLeft w:val="0"/>
              <w:marRight w:val="0"/>
              <w:marTop w:val="0"/>
              <w:marBottom w:val="0"/>
              <w:divBdr>
                <w:top w:val="none" w:sz="0" w:space="0" w:color="auto"/>
                <w:left w:val="none" w:sz="0" w:space="0" w:color="auto"/>
                <w:bottom w:val="none" w:sz="0" w:space="0" w:color="auto"/>
                <w:right w:val="none" w:sz="0" w:space="0" w:color="auto"/>
              </w:divBdr>
            </w:div>
            <w:div w:id="77101941">
              <w:marLeft w:val="0"/>
              <w:marRight w:val="0"/>
              <w:marTop w:val="0"/>
              <w:marBottom w:val="0"/>
              <w:divBdr>
                <w:top w:val="none" w:sz="0" w:space="0" w:color="auto"/>
                <w:left w:val="none" w:sz="0" w:space="0" w:color="auto"/>
                <w:bottom w:val="none" w:sz="0" w:space="0" w:color="auto"/>
                <w:right w:val="none" w:sz="0" w:space="0" w:color="auto"/>
              </w:divBdr>
            </w:div>
            <w:div w:id="1471098668">
              <w:marLeft w:val="0"/>
              <w:marRight w:val="0"/>
              <w:marTop w:val="0"/>
              <w:marBottom w:val="0"/>
              <w:divBdr>
                <w:top w:val="none" w:sz="0" w:space="0" w:color="auto"/>
                <w:left w:val="none" w:sz="0" w:space="0" w:color="auto"/>
                <w:bottom w:val="none" w:sz="0" w:space="0" w:color="auto"/>
                <w:right w:val="none" w:sz="0" w:space="0" w:color="auto"/>
              </w:divBdr>
            </w:div>
            <w:div w:id="1108695379">
              <w:marLeft w:val="0"/>
              <w:marRight w:val="0"/>
              <w:marTop w:val="0"/>
              <w:marBottom w:val="0"/>
              <w:divBdr>
                <w:top w:val="none" w:sz="0" w:space="0" w:color="auto"/>
                <w:left w:val="none" w:sz="0" w:space="0" w:color="auto"/>
                <w:bottom w:val="none" w:sz="0" w:space="0" w:color="auto"/>
                <w:right w:val="none" w:sz="0" w:space="0" w:color="auto"/>
              </w:divBdr>
            </w:div>
          </w:divsChild>
        </w:div>
        <w:div w:id="1897274562">
          <w:marLeft w:val="0"/>
          <w:marRight w:val="0"/>
          <w:marTop w:val="0"/>
          <w:marBottom w:val="0"/>
          <w:divBdr>
            <w:top w:val="none" w:sz="0" w:space="0" w:color="auto"/>
            <w:left w:val="none" w:sz="0" w:space="0" w:color="auto"/>
            <w:bottom w:val="none" w:sz="0" w:space="0" w:color="auto"/>
            <w:right w:val="none" w:sz="0" w:space="0" w:color="auto"/>
          </w:divBdr>
          <w:divsChild>
            <w:div w:id="10399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bailii.org/uk/cases/UKSC/2014/5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ty-voice.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Brown</dc:creator>
  <cp:lastModifiedBy>Robin Brown</cp:lastModifiedBy>
  <cp:revision>2</cp:revision>
  <dcterms:created xsi:type="dcterms:W3CDTF">2018-03-02T17:15:00Z</dcterms:created>
  <dcterms:modified xsi:type="dcterms:W3CDTF">2018-03-02T17:15:00Z</dcterms:modified>
</cp:coreProperties>
</file>