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16965" w14:textId="77777777" w:rsidR="00EB1D21" w:rsidRPr="00C809AA" w:rsidRDefault="00EB1D21" w:rsidP="00EB1D21">
      <w:pPr>
        <w:spacing w:after="0" w:line="240" w:lineRule="auto"/>
        <w:ind w:left="6804"/>
        <w:rPr>
          <w:b/>
          <w:color w:val="1A7D0D"/>
          <w:sz w:val="24"/>
          <w:szCs w:val="24"/>
        </w:rPr>
      </w:pPr>
      <w:r w:rsidRPr="00C809AA">
        <w:rPr>
          <w:b/>
          <w:color w:val="1A7D0D"/>
          <w:sz w:val="24"/>
          <w:szCs w:val="24"/>
        </w:rPr>
        <w:t>70 Cowcross Street</w:t>
      </w:r>
    </w:p>
    <w:p w14:paraId="6E4516F7" w14:textId="77777777" w:rsidR="00EB1D21" w:rsidRPr="00C809AA" w:rsidRDefault="00EB1D21" w:rsidP="00EB1D21">
      <w:pPr>
        <w:spacing w:after="0" w:line="240" w:lineRule="auto"/>
        <w:ind w:left="6804"/>
        <w:rPr>
          <w:b/>
          <w:color w:val="1A7D0D"/>
          <w:sz w:val="24"/>
          <w:szCs w:val="24"/>
        </w:rPr>
      </w:pPr>
      <w:r w:rsidRPr="00C809AA">
        <w:rPr>
          <w:b/>
          <w:color w:val="1A7D0D"/>
          <w:sz w:val="24"/>
          <w:szCs w:val="24"/>
        </w:rPr>
        <w:t>London EC1M 6EJ</w:t>
      </w:r>
    </w:p>
    <w:p w14:paraId="6B8EE250" w14:textId="77777777" w:rsidR="00EB1D21" w:rsidRPr="00C809AA" w:rsidRDefault="00EB1D21" w:rsidP="00EB1D21">
      <w:pPr>
        <w:spacing w:after="0" w:line="240" w:lineRule="auto"/>
        <w:ind w:left="6804"/>
        <w:rPr>
          <w:b/>
          <w:color w:val="1A7D0D"/>
          <w:sz w:val="24"/>
          <w:szCs w:val="24"/>
        </w:rPr>
      </w:pPr>
      <w:r w:rsidRPr="00C809AA">
        <w:rPr>
          <w:b/>
          <w:color w:val="1A7D0D"/>
          <w:sz w:val="24"/>
          <w:szCs w:val="24"/>
        </w:rPr>
        <w:t>Tel: 0207 253 0300</w:t>
      </w:r>
    </w:p>
    <w:p w14:paraId="638CF625" w14:textId="77777777" w:rsidR="00EB1D21" w:rsidRPr="00C809AA" w:rsidRDefault="00EB1D21" w:rsidP="00EB1D21">
      <w:pPr>
        <w:spacing w:after="0" w:line="240" w:lineRule="auto"/>
        <w:ind w:left="6804"/>
        <w:rPr>
          <w:b/>
          <w:color w:val="1A7D0D"/>
          <w:sz w:val="24"/>
          <w:szCs w:val="24"/>
        </w:rPr>
      </w:pPr>
      <w:r w:rsidRPr="00C809AA">
        <w:rPr>
          <w:b/>
          <w:color w:val="1A7D0D"/>
          <w:sz w:val="24"/>
          <w:szCs w:val="24"/>
        </w:rPr>
        <w:t>office@cprelondon.org.uk</w:t>
      </w:r>
    </w:p>
    <w:p w14:paraId="31CBD69D" w14:textId="77777777" w:rsidR="00EB1D21" w:rsidRPr="00C809AA" w:rsidRDefault="00EB1D21" w:rsidP="00EB1D21">
      <w:pPr>
        <w:spacing w:after="0" w:line="240" w:lineRule="auto"/>
        <w:ind w:left="6804"/>
        <w:rPr>
          <w:b/>
          <w:color w:val="1A7D0D"/>
          <w:sz w:val="24"/>
          <w:szCs w:val="24"/>
        </w:rPr>
      </w:pPr>
      <w:r w:rsidRPr="00C809AA">
        <w:rPr>
          <w:b/>
          <w:color w:val="1A7D0D"/>
          <w:sz w:val="24"/>
          <w:szCs w:val="24"/>
        </w:rPr>
        <w:t>www.cprelondon.org.uk</w:t>
      </w:r>
    </w:p>
    <w:p w14:paraId="700E20F7" w14:textId="77777777" w:rsidR="00C17958" w:rsidRPr="00C809AA" w:rsidRDefault="00C17958" w:rsidP="00C17958">
      <w:pPr>
        <w:spacing w:after="0" w:line="240" w:lineRule="auto"/>
        <w:rPr>
          <w:sz w:val="24"/>
          <w:szCs w:val="24"/>
        </w:rPr>
      </w:pPr>
      <w:r w:rsidRPr="00C809AA">
        <w:rPr>
          <w:sz w:val="24"/>
          <w:szCs w:val="24"/>
        </w:rPr>
        <w:t>The Planning Team</w:t>
      </w:r>
    </w:p>
    <w:p w14:paraId="14D7FF96" w14:textId="77777777" w:rsidR="00C17958" w:rsidRPr="00C809AA" w:rsidRDefault="00C17958" w:rsidP="00C17958">
      <w:pPr>
        <w:spacing w:after="0" w:line="240" w:lineRule="auto"/>
        <w:rPr>
          <w:sz w:val="24"/>
          <w:szCs w:val="24"/>
        </w:rPr>
      </w:pPr>
      <w:r w:rsidRPr="00C809AA">
        <w:rPr>
          <w:sz w:val="24"/>
          <w:szCs w:val="24"/>
        </w:rPr>
        <w:t>Greater London Authority</w:t>
      </w:r>
    </w:p>
    <w:p w14:paraId="4F726310" w14:textId="77777777" w:rsidR="00C17958" w:rsidRPr="00C809AA" w:rsidRDefault="00C17958" w:rsidP="00C17958">
      <w:pPr>
        <w:spacing w:after="0" w:line="240" w:lineRule="auto"/>
        <w:rPr>
          <w:sz w:val="24"/>
          <w:szCs w:val="24"/>
        </w:rPr>
      </w:pPr>
      <w:r w:rsidRPr="00C809AA">
        <w:rPr>
          <w:sz w:val="24"/>
          <w:szCs w:val="24"/>
        </w:rPr>
        <w:t>City Hall, Kamal Chunchie Way</w:t>
      </w:r>
    </w:p>
    <w:p w14:paraId="57EC79EB" w14:textId="57B23765" w:rsidR="00713D43" w:rsidRPr="00C809AA" w:rsidRDefault="00C17958" w:rsidP="00C17958">
      <w:pPr>
        <w:spacing w:after="0" w:line="240" w:lineRule="auto"/>
        <w:rPr>
          <w:sz w:val="24"/>
          <w:szCs w:val="24"/>
        </w:rPr>
      </w:pPr>
      <w:r w:rsidRPr="00C809AA">
        <w:rPr>
          <w:sz w:val="24"/>
          <w:szCs w:val="24"/>
        </w:rPr>
        <w:t>London E16 1ZE</w:t>
      </w:r>
    </w:p>
    <w:p w14:paraId="32A7F082" w14:textId="77777777" w:rsidR="00C17958" w:rsidRPr="00C809AA" w:rsidRDefault="00C17958" w:rsidP="00C17958">
      <w:pPr>
        <w:spacing w:after="0" w:line="240" w:lineRule="auto"/>
        <w:rPr>
          <w:sz w:val="24"/>
          <w:szCs w:val="24"/>
        </w:rPr>
      </w:pPr>
    </w:p>
    <w:p w14:paraId="14638FC2" w14:textId="0A8C14C4" w:rsidR="00C17958" w:rsidRPr="00C809AA" w:rsidRDefault="00C17958" w:rsidP="00C17958">
      <w:pPr>
        <w:spacing w:after="0" w:line="240" w:lineRule="auto"/>
        <w:rPr>
          <w:sz w:val="24"/>
          <w:szCs w:val="24"/>
        </w:rPr>
      </w:pPr>
      <w:r w:rsidRPr="00C809AA">
        <w:rPr>
          <w:sz w:val="24"/>
          <w:szCs w:val="24"/>
        </w:rPr>
        <w:t xml:space="preserve">By email to </w:t>
      </w:r>
      <w:hyperlink r:id="rId10" w:history="1">
        <w:r w:rsidR="004236BB" w:rsidRPr="00C809AA">
          <w:rPr>
            <w:rStyle w:val="Hyperlink"/>
            <w:sz w:val="24"/>
            <w:szCs w:val="24"/>
          </w:rPr>
          <w:t>londonplan@london.gov.uk</w:t>
        </w:r>
      </w:hyperlink>
      <w:r w:rsidR="004236BB" w:rsidRPr="00C809AA">
        <w:rPr>
          <w:sz w:val="24"/>
          <w:szCs w:val="24"/>
        </w:rPr>
        <w:t xml:space="preserve"> </w:t>
      </w:r>
    </w:p>
    <w:p w14:paraId="260DFEB8" w14:textId="30E87174" w:rsidR="00713D43" w:rsidRPr="00C809AA" w:rsidRDefault="009B12C6" w:rsidP="00713D43">
      <w:pPr>
        <w:spacing w:after="0" w:line="240" w:lineRule="auto"/>
        <w:jc w:val="right"/>
        <w:rPr>
          <w:sz w:val="24"/>
          <w:szCs w:val="24"/>
        </w:rPr>
      </w:pPr>
      <w:r>
        <w:rPr>
          <w:sz w:val="24"/>
          <w:szCs w:val="24"/>
        </w:rPr>
        <w:t>10</w:t>
      </w:r>
      <w:r w:rsidR="00E53D89" w:rsidRPr="00C809AA">
        <w:rPr>
          <w:sz w:val="24"/>
          <w:szCs w:val="24"/>
        </w:rPr>
        <w:t xml:space="preserve"> </w:t>
      </w:r>
      <w:r>
        <w:rPr>
          <w:sz w:val="24"/>
          <w:szCs w:val="24"/>
        </w:rPr>
        <w:t xml:space="preserve">February </w:t>
      </w:r>
      <w:r w:rsidR="00EB4077" w:rsidRPr="00C809AA">
        <w:rPr>
          <w:sz w:val="24"/>
          <w:szCs w:val="24"/>
        </w:rPr>
        <w:t>2026</w:t>
      </w:r>
    </w:p>
    <w:p w14:paraId="230E03EC" w14:textId="77777777" w:rsidR="00DD4114" w:rsidRPr="00C809AA" w:rsidRDefault="00DD4114" w:rsidP="00713D43">
      <w:pPr>
        <w:spacing w:after="0" w:line="240" w:lineRule="auto"/>
        <w:jc w:val="right"/>
        <w:rPr>
          <w:sz w:val="24"/>
          <w:szCs w:val="24"/>
        </w:rPr>
      </w:pPr>
    </w:p>
    <w:p w14:paraId="23EC5CB2" w14:textId="77777777" w:rsidR="00E0298E" w:rsidRDefault="00E0298E" w:rsidP="006C6EEF">
      <w:pPr>
        <w:spacing w:after="0" w:line="240" w:lineRule="auto"/>
        <w:rPr>
          <w:sz w:val="24"/>
          <w:szCs w:val="24"/>
        </w:rPr>
      </w:pPr>
    </w:p>
    <w:p w14:paraId="308D6B25" w14:textId="5C221E2C" w:rsidR="006C6EEF" w:rsidRPr="00C809AA" w:rsidRDefault="002D5817" w:rsidP="006C6EEF">
      <w:pPr>
        <w:spacing w:after="0" w:line="240" w:lineRule="auto"/>
        <w:rPr>
          <w:sz w:val="24"/>
          <w:szCs w:val="24"/>
        </w:rPr>
      </w:pPr>
      <w:r>
        <w:rPr>
          <w:sz w:val="24"/>
          <w:szCs w:val="24"/>
        </w:rPr>
        <w:t>Dear Planning Team</w:t>
      </w:r>
      <w:r w:rsidR="006C6EEF" w:rsidRPr="00C809AA">
        <w:rPr>
          <w:sz w:val="24"/>
          <w:szCs w:val="24"/>
        </w:rPr>
        <w:t>,</w:t>
      </w:r>
    </w:p>
    <w:p w14:paraId="67D54CC6" w14:textId="77777777" w:rsidR="009B5DC9" w:rsidRPr="009B5DC9" w:rsidRDefault="009B5DC9" w:rsidP="009B5DC9">
      <w:pPr>
        <w:spacing w:after="0" w:line="240" w:lineRule="auto"/>
        <w:rPr>
          <w:b/>
          <w:bCs/>
          <w:sz w:val="24"/>
          <w:szCs w:val="24"/>
        </w:rPr>
      </w:pPr>
    </w:p>
    <w:p w14:paraId="4422C067" w14:textId="7CEF444F" w:rsidR="00BF1EB8" w:rsidRPr="00C809AA" w:rsidRDefault="009B5DC9" w:rsidP="009B5DC9">
      <w:pPr>
        <w:spacing w:after="0" w:line="240" w:lineRule="auto"/>
        <w:rPr>
          <w:sz w:val="24"/>
          <w:szCs w:val="24"/>
        </w:rPr>
      </w:pPr>
      <w:r w:rsidRPr="009B5DC9">
        <w:rPr>
          <w:b/>
          <w:bCs/>
          <w:sz w:val="24"/>
          <w:szCs w:val="24"/>
        </w:rPr>
        <w:t>Draft Integrated Impact Assessment Scoping Report</w:t>
      </w:r>
    </w:p>
    <w:p w14:paraId="035628C2" w14:textId="77777777" w:rsidR="009B5DC9" w:rsidRDefault="009B5DC9" w:rsidP="006C6EEF">
      <w:pPr>
        <w:spacing w:after="0" w:line="240" w:lineRule="auto"/>
        <w:rPr>
          <w:sz w:val="24"/>
          <w:szCs w:val="24"/>
        </w:rPr>
      </w:pPr>
    </w:p>
    <w:p w14:paraId="5EF2276D" w14:textId="472F7988" w:rsidR="00BF1EB8" w:rsidRPr="00C809AA" w:rsidRDefault="00D56045" w:rsidP="006C6EEF">
      <w:pPr>
        <w:spacing w:after="0" w:line="240" w:lineRule="auto"/>
        <w:rPr>
          <w:sz w:val="24"/>
          <w:szCs w:val="24"/>
        </w:rPr>
      </w:pPr>
      <w:r w:rsidRPr="00C809AA">
        <w:rPr>
          <w:sz w:val="24"/>
          <w:szCs w:val="24"/>
        </w:rPr>
        <w:t xml:space="preserve">We are </w:t>
      </w:r>
      <w:r w:rsidR="00BF1EB8" w:rsidRPr="00C809AA">
        <w:rPr>
          <w:sz w:val="24"/>
          <w:szCs w:val="24"/>
        </w:rPr>
        <w:t>writing to respond to this consultation. CPRE London is a membership-based charity with 2,500</w:t>
      </w:r>
      <w:r w:rsidR="002D5817">
        <w:rPr>
          <w:sz w:val="24"/>
          <w:szCs w:val="24"/>
        </w:rPr>
        <w:t xml:space="preserve"> members</w:t>
      </w:r>
      <w:r w:rsidR="00BF1EB8" w:rsidRPr="00C809AA">
        <w:rPr>
          <w:sz w:val="24"/>
          <w:szCs w:val="24"/>
        </w:rPr>
        <w:t xml:space="preserve"> across London. </w:t>
      </w:r>
      <w:r w:rsidR="00606B3F" w:rsidRPr="00C809AA">
        <w:rPr>
          <w:sz w:val="24"/>
          <w:szCs w:val="24"/>
        </w:rPr>
        <w:t xml:space="preserve">Our responses are below. </w:t>
      </w:r>
    </w:p>
    <w:p w14:paraId="32E476B9" w14:textId="77777777" w:rsidR="00821E0D" w:rsidRPr="00C809AA" w:rsidRDefault="00821E0D" w:rsidP="006C6EEF">
      <w:pPr>
        <w:spacing w:after="0" w:line="240" w:lineRule="auto"/>
        <w:rPr>
          <w:sz w:val="24"/>
          <w:szCs w:val="24"/>
        </w:rPr>
      </w:pPr>
    </w:p>
    <w:p w14:paraId="605F8227" w14:textId="77777777" w:rsidR="006B7292" w:rsidRPr="006B7292" w:rsidRDefault="006B7292" w:rsidP="006B7292">
      <w:pPr>
        <w:rPr>
          <w:b/>
          <w:bCs/>
          <w:sz w:val="24"/>
          <w:szCs w:val="24"/>
        </w:rPr>
      </w:pPr>
      <w:r w:rsidRPr="006B7292">
        <w:rPr>
          <w:b/>
          <w:bCs/>
          <w:sz w:val="24"/>
          <w:szCs w:val="24"/>
        </w:rPr>
        <w:t>Introduction</w:t>
      </w:r>
    </w:p>
    <w:p w14:paraId="6399B621" w14:textId="597C8682" w:rsidR="006B7292" w:rsidRPr="006B7292" w:rsidRDefault="006B7292" w:rsidP="006B7292">
      <w:pPr>
        <w:rPr>
          <w:sz w:val="24"/>
          <w:szCs w:val="24"/>
        </w:rPr>
      </w:pPr>
      <w:r w:rsidRPr="006B7292">
        <w:rPr>
          <w:sz w:val="24"/>
          <w:szCs w:val="24"/>
        </w:rPr>
        <w:t>CPRE London welcomes the opportunity to comment on the Draft Integrated Impact Assessment (IIA) Scoping Report. We recognise the importance of the IIA in integrating Strategic Environmental Assessment, Sustainability Appraisal, Health Impact Assessment and Equalities considerations into the preparation of the London Plan.</w:t>
      </w:r>
    </w:p>
    <w:p w14:paraId="105FBE55" w14:textId="66BD37AB" w:rsidR="006B7292" w:rsidRPr="006B7292" w:rsidRDefault="006B7292" w:rsidP="006B7292">
      <w:pPr>
        <w:rPr>
          <w:sz w:val="24"/>
          <w:szCs w:val="24"/>
        </w:rPr>
      </w:pPr>
      <w:r w:rsidRPr="006B7292">
        <w:rPr>
          <w:sz w:val="24"/>
          <w:szCs w:val="24"/>
        </w:rPr>
        <w:t xml:space="preserve">Our experience of the IIA undertaken for the London Plan 2021 is directly relevant. While that assessment was procedurally compliant and identified a range of environmental impacts, its influence on fundamental plan assumptions, particularly the overall scale of housing growth and long-term pressure on protected open land, was limited. </w:t>
      </w:r>
      <w:r w:rsidRPr="007B6161">
        <w:rPr>
          <w:b/>
          <w:bCs/>
          <w:i/>
          <w:iCs/>
          <w:sz w:val="24"/>
          <w:szCs w:val="24"/>
        </w:rPr>
        <w:t>The IIA largely tested how growth could be accommodated rather than whether the scale of growth itself was compatible with environmental limits, and cumulative and cross-boundary effects were under-developed.</w:t>
      </w:r>
    </w:p>
    <w:p w14:paraId="09E28AC6" w14:textId="2FDB4812" w:rsidR="006B7292" w:rsidRPr="006B7292" w:rsidRDefault="006B7292" w:rsidP="006B7292">
      <w:pPr>
        <w:rPr>
          <w:sz w:val="24"/>
          <w:szCs w:val="24"/>
        </w:rPr>
      </w:pPr>
      <w:r w:rsidRPr="006B7292">
        <w:rPr>
          <w:sz w:val="24"/>
          <w:szCs w:val="24"/>
        </w:rPr>
        <w:t>This demonstrates that issues constrained or deferred at scoping stage are rarely revisited in a way that materially influences outcomes. Given the significantly higher housing targets now proposed, weaker delivery conditions, and the revised National Planning Policy Framework published in December 2024, it is essential that the IIA scope is robust, open-ended, and capable of informing strategic choices from the outset.</w:t>
      </w:r>
    </w:p>
    <w:p w14:paraId="3B2D7208" w14:textId="257EF523" w:rsidR="006B7292" w:rsidRPr="006B7292" w:rsidRDefault="006B7292" w:rsidP="006B7292">
      <w:pPr>
        <w:rPr>
          <w:b/>
          <w:bCs/>
          <w:sz w:val="24"/>
          <w:szCs w:val="24"/>
        </w:rPr>
      </w:pPr>
      <w:r w:rsidRPr="006B7292">
        <w:rPr>
          <w:b/>
          <w:bCs/>
          <w:sz w:val="24"/>
          <w:szCs w:val="24"/>
        </w:rPr>
        <w:t>Question 1</w:t>
      </w:r>
    </w:p>
    <w:p w14:paraId="597C8102" w14:textId="77777777" w:rsidR="006B7292" w:rsidRPr="00E448ED" w:rsidRDefault="006B7292" w:rsidP="006B7292">
      <w:pPr>
        <w:rPr>
          <w:b/>
          <w:bCs/>
          <w:sz w:val="24"/>
          <w:szCs w:val="24"/>
        </w:rPr>
      </w:pPr>
      <w:r w:rsidRPr="00E448ED">
        <w:rPr>
          <w:b/>
          <w:bCs/>
          <w:sz w:val="24"/>
          <w:szCs w:val="24"/>
        </w:rPr>
        <w:t>Have there been any significant omissions of plans, policies, programmes or sustainability objectives relevant to the scoping of the IIA?</w:t>
      </w:r>
    </w:p>
    <w:p w14:paraId="186E1D58" w14:textId="77777777" w:rsidR="006B7292" w:rsidRPr="006B7292" w:rsidRDefault="006B7292" w:rsidP="006B7292">
      <w:pPr>
        <w:rPr>
          <w:sz w:val="24"/>
          <w:szCs w:val="24"/>
        </w:rPr>
      </w:pPr>
    </w:p>
    <w:p w14:paraId="69A4B11B" w14:textId="0A97BDDE" w:rsidR="006B7292" w:rsidRPr="006B7292" w:rsidRDefault="006B7292" w:rsidP="006B7292">
      <w:pPr>
        <w:rPr>
          <w:sz w:val="24"/>
          <w:szCs w:val="24"/>
        </w:rPr>
      </w:pPr>
      <w:r w:rsidRPr="006B7292">
        <w:rPr>
          <w:sz w:val="24"/>
          <w:szCs w:val="24"/>
        </w:rPr>
        <w:lastRenderedPageBreak/>
        <w:t>CPRE London considers that the Draft IIA Scoping Report contains significant omissions and under-developed policy contexts that limit its ability to assess the full sustainability implications of the emerging London Plan.</w:t>
      </w:r>
    </w:p>
    <w:p w14:paraId="1055F604" w14:textId="68C5CE85" w:rsidR="006B7292" w:rsidRPr="006B7292" w:rsidRDefault="006B7292" w:rsidP="006B7292">
      <w:pPr>
        <w:rPr>
          <w:sz w:val="24"/>
          <w:szCs w:val="24"/>
        </w:rPr>
      </w:pPr>
      <w:r w:rsidRPr="006B7292">
        <w:rPr>
          <w:sz w:val="24"/>
          <w:szCs w:val="24"/>
        </w:rPr>
        <w:t>The Scoping Report does not sufficiently reflect London’s role as a functional city-region. While it acknowledges that impacts beyond the GLA boundary will be considered, it does not adequately integrate plans, programmes and evidence from neighbouring authorities likely to be significantly affected by the London Plan. The GLA covers approximately 1,572 km², compared with a wider London metropolitan area of around 8,382 km². A substantial proportion of environmental, social and infrastructure impacts are therefore displaced beyond the plan boundary. These cumulative and indirect effects should be treated as integral to the assessment, in line with SEA requirements to consider the area likely to be significantly affected by the plan.</w:t>
      </w:r>
    </w:p>
    <w:p w14:paraId="3BB14669" w14:textId="4C6DCA57" w:rsidR="006B7292" w:rsidRPr="006B7292" w:rsidRDefault="006B7292" w:rsidP="006B7292">
      <w:pPr>
        <w:rPr>
          <w:sz w:val="24"/>
          <w:szCs w:val="24"/>
        </w:rPr>
      </w:pPr>
      <w:r w:rsidRPr="006B7292">
        <w:rPr>
          <w:sz w:val="24"/>
          <w:szCs w:val="24"/>
        </w:rPr>
        <w:t>The Scoping Report also underplays the role of major strategic transport investment in shaping development patterns. Experience in London shows that transport schemes can drive development pressure, particularly where scheme viability depends on housing delivery and land value uplift. The long-running case of Crossrail 2 illustrates how infrastructure proposals can create policy lock-in and sustained pressure on constrained land, including Green Belt and Metropolitan Open Land. This context is not yet adequately reflected in the scope of the IIA.</w:t>
      </w:r>
    </w:p>
    <w:p w14:paraId="2AC77546" w14:textId="2FC11242" w:rsidR="006B7292" w:rsidRPr="006B7292" w:rsidRDefault="006B7292" w:rsidP="006B7292">
      <w:pPr>
        <w:rPr>
          <w:sz w:val="24"/>
          <w:szCs w:val="24"/>
        </w:rPr>
      </w:pPr>
      <w:r w:rsidRPr="006B7292">
        <w:rPr>
          <w:sz w:val="24"/>
          <w:szCs w:val="24"/>
        </w:rPr>
        <w:t>There is insufficient recognition of social infrastructure as a land-use issue. While health and wellbeing outcomes are referenced, the spatial and land-take implications of schools, healthcare facilities, leisure centres and burial provision are not yet adequately reflected. Burial provision in particular represents a largely irreversible form of development linked to population growth and ageing, frequently falling on open or peri-urban land.</w:t>
      </w:r>
    </w:p>
    <w:p w14:paraId="09A34155" w14:textId="3B710771" w:rsidR="006B7292" w:rsidRPr="006B7292" w:rsidRDefault="006B7292" w:rsidP="006B7292">
      <w:pPr>
        <w:rPr>
          <w:sz w:val="24"/>
          <w:szCs w:val="24"/>
        </w:rPr>
      </w:pPr>
      <w:r w:rsidRPr="006B7292">
        <w:rPr>
          <w:sz w:val="24"/>
          <w:szCs w:val="24"/>
        </w:rPr>
        <w:t>CPRE London is concerned by the framing of paragraph 4.22 of the Scoping Report, which states that the new London Plan will need to accommodate higher housing targets set by national government, including through consideration of Green Belt release. This wording risks pre-determining the outcome of the assessment by treating housing targets as fixed requirements rather than assumptions to be tested against environmental limits. Environmental assessment legislation requires the IIA to be capable of identifying whether accommodating the full housing target would give rise to unacceptable harm, and of informing plan-makers where such harm cannot be adequately avoided or mitigated.</w:t>
      </w:r>
    </w:p>
    <w:p w14:paraId="517969DA" w14:textId="11EF9643" w:rsidR="006B7292" w:rsidRPr="006B7292" w:rsidRDefault="006B7292" w:rsidP="006B7292">
      <w:pPr>
        <w:rPr>
          <w:sz w:val="24"/>
          <w:szCs w:val="24"/>
        </w:rPr>
      </w:pPr>
      <w:r w:rsidRPr="006B7292">
        <w:rPr>
          <w:sz w:val="24"/>
          <w:szCs w:val="24"/>
        </w:rPr>
        <w:t>The Scoping Report also does not yet reflect the full weight of national policy objectives relating to the protection of Green Belt, Metropolitan Open Land and publicly accessible parks, particularly following the revised National Planning Policy Framework published in December 2024. These designations operate as strategic constraints intended to impose limits on development, and this role should be more clearly embedded in the IIA scope.</w:t>
      </w:r>
    </w:p>
    <w:p w14:paraId="2CD4FC76" w14:textId="0680283E" w:rsidR="006B7292" w:rsidRPr="006B7292" w:rsidRDefault="006B7292" w:rsidP="006B7292">
      <w:pPr>
        <w:rPr>
          <w:b/>
          <w:bCs/>
          <w:sz w:val="24"/>
          <w:szCs w:val="24"/>
        </w:rPr>
      </w:pPr>
      <w:r w:rsidRPr="006B7292">
        <w:rPr>
          <w:b/>
          <w:bCs/>
          <w:sz w:val="24"/>
          <w:szCs w:val="24"/>
        </w:rPr>
        <w:t>Question 2</w:t>
      </w:r>
    </w:p>
    <w:p w14:paraId="7202FD71" w14:textId="241F5A28" w:rsidR="006B7292" w:rsidRPr="00CE1212" w:rsidRDefault="006B7292" w:rsidP="006B7292">
      <w:pPr>
        <w:rPr>
          <w:b/>
          <w:bCs/>
          <w:sz w:val="24"/>
          <w:szCs w:val="24"/>
        </w:rPr>
      </w:pPr>
      <w:r w:rsidRPr="00CE1212">
        <w:rPr>
          <w:b/>
          <w:bCs/>
          <w:sz w:val="24"/>
          <w:szCs w:val="24"/>
        </w:rPr>
        <w:t>Is the baseline data collated relevant and of sufficient detail to support the IIA, or is there additional key baseline data that could be used?</w:t>
      </w:r>
    </w:p>
    <w:p w14:paraId="77C1CAC4" w14:textId="77777777" w:rsidR="006B7292" w:rsidRPr="006B7292" w:rsidRDefault="006B7292" w:rsidP="006B7292">
      <w:pPr>
        <w:rPr>
          <w:sz w:val="24"/>
          <w:szCs w:val="24"/>
        </w:rPr>
      </w:pPr>
      <w:r w:rsidRPr="006B7292">
        <w:rPr>
          <w:sz w:val="24"/>
          <w:szCs w:val="24"/>
        </w:rPr>
        <w:t>While the baseline data is wide-ranging, CPRE London considers that it relies too heavily on headline indicators and lacks sufficient functional and spatial detail in several key areas.</w:t>
      </w:r>
    </w:p>
    <w:p w14:paraId="608CB591" w14:textId="77777777" w:rsidR="006B7292" w:rsidRPr="006B7292" w:rsidRDefault="006B7292" w:rsidP="006B7292">
      <w:pPr>
        <w:rPr>
          <w:sz w:val="24"/>
          <w:szCs w:val="24"/>
        </w:rPr>
      </w:pPr>
    </w:p>
    <w:p w14:paraId="5447B4AD" w14:textId="4A482BD0" w:rsidR="006B7292" w:rsidRPr="006B7292" w:rsidRDefault="006B7292" w:rsidP="006B7292">
      <w:pPr>
        <w:rPr>
          <w:sz w:val="24"/>
          <w:szCs w:val="24"/>
        </w:rPr>
      </w:pPr>
      <w:r w:rsidRPr="006B7292">
        <w:rPr>
          <w:sz w:val="24"/>
          <w:szCs w:val="24"/>
        </w:rPr>
        <w:lastRenderedPageBreak/>
        <w:t>For Green Belt, Metropolitan Open Land and parks, the baseline presents aggregate figures for green land cover without adequately distinguishing between designated and non-designated land, publicly accessible and private land, or land vulnerable to incremental erosion. This risks overstating environmental capacity and understating the sensitivity of strategically protected land.</w:t>
      </w:r>
    </w:p>
    <w:p w14:paraId="22167082" w14:textId="74A01C7D" w:rsidR="006B7292" w:rsidRPr="006B7292" w:rsidRDefault="006B7292" w:rsidP="006B7292">
      <w:pPr>
        <w:rPr>
          <w:sz w:val="24"/>
          <w:szCs w:val="24"/>
        </w:rPr>
      </w:pPr>
      <w:r w:rsidRPr="006B7292">
        <w:rPr>
          <w:sz w:val="24"/>
          <w:szCs w:val="24"/>
        </w:rPr>
        <w:t>The baseline does not sufficiently address access to open space, quality of provision or spatial inequalities. National policy increasingly emphasises the functional role of open space, including accessibility and long-term capacity, and these aspects should be explicitly reflected.</w:t>
      </w:r>
    </w:p>
    <w:p w14:paraId="235615E8" w14:textId="2D8D29D6" w:rsidR="006B7292" w:rsidRPr="006B7292" w:rsidRDefault="006B7292" w:rsidP="006B7292">
      <w:pPr>
        <w:rPr>
          <w:sz w:val="24"/>
          <w:szCs w:val="24"/>
        </w:rPr>
      </w:pPr>
      <w:r w:rsidRPr="006B7292">
        <w:rPr>
          <w:sz w:val="24"/>
          <w:szCs w:val="24"/>
        </w:rPr>
        <w:t>There is insufficient baseline evidence on the cumulative loss of front gardens and permeable surfaces, despite previous London Plan evidence of long-term decline. This is particularly significant in Outer London boroughs such as Hounslow, where incremental changes to residential plots have materially affected surface water management, urban cooling, biodiversity and townscape character.</w:t>
      </w:r>
    </w:p>
    <w:p w14:paraId="00A1FFB3" w14:textId="069BCE51" w:rsidR="006B7292" w:rsidRPr="006B7292" w:rsidRDefault="006B7292" w:rsidP="006B7292">
      <w:pPr>
        <w:rPr>
          <w:sz w:val="24"/>
          <w:szCs w:val="24"/>
        </w:rPr>
      </w:pPr>
      <w:r w:rsidRPr="006B7292">
        <w:rPr>
          <w:sz w:val="24"/>
          <w:szCs w:val="24"/>
        </w:rPr>
        <w:t>Paragraph 4.30 of the Scoping Report provides important evidence on the gap between nationally set housing need, current London Plan targets and actual delivery, and on the role of macroeconomic and structural factors in suppressing delivery. This evidence is highly material to the baseline, as it demonstrates that sustained delivery at the national target level cannot be assumed. The baseline should therefore reflect alternative delivery trajectories, the likelihood that unmet demand will be displaced beyond the GLA boundary, and the risk that a recession or prolonged economic slowdown could weaken brownfield viability and infrastructure funding. In such circumstances, there is a real risk that pressure to meet housing targets is redirected towards the release of less constrained land, with Green Belt and Metropolitan Open Land treated as contingency capacity rather than as strategic constraints. The IIA baseline should therefore test how different economic scenarios could alter spatial outcomes and environmental risk, rather than assuming stable delivery conditions throughout the plan period.</w:t>
      </w:r>
    </w:p>
    <w:p w14:paraId="31DF3400" w14:textId="2AF50D8D" w:rsidR="006B7292" w:rsidRPr="006B7292" w:rsidRDefault="006B7292" w:rsidP="006B7292">
      <w:pPr>
        <w:rPr>
          <w:sz w:val="24"/>
          <w:szCs w:val="24"/>
        </w:rPr>
      </w:pPr>
      <w:r w:rsidRPr="006B7292">
        <w:rPr>
          <w:sz w:val="24"/>
          <w:szCs w:val="24"/>
        </w:rPr>
        <w:t>In this context, CPRE London considers that the baseline should extend beyond the GLA administrative boundary to include authorities within the functional London metropolitan area where they are likely to be significantly affected by London Plan policies.</w:t>
      </w:r>
    </w:p>
    <w:p w14:paraId="132DA43D" w14:textId="21A515E0" w:rsidR="006B7292" w:rsidRPr="006B7292" w:rsidRDefault="006B7292" w:rsidP="006B7292">
      <w:pPr>
        <w:rPr>
          <w:b/>
          <w:bCs/>
          <w:sz w:val="24"/>
          <w:szCs w:val="24"/>
        </w:rPr>
      </w:pPr>
      <w:r w:rsidRPr="006B7292">
        <w:rPr>
          <w:b/>
          <w:bCs/>
          <w:sz w:val="24"/>
          <w:szCs w:val="24"/>
        </w:rPr>
        <w:t>Question 3</w:t>
      </w:r>
    </w:p>
    <w:p w14:paraId="4FB99D6D" w14:textId="10F65C32" w:rsidR="006B7292" w:rsidRPr="00743B19" w:rsidRDefault="006B7292" w:rsidP="006B7292">
      <w:pPr>
        <w:rPr>
          <w:b/>
          <w:bCs/>
          <w:sz w:val="24"/>
          <w:szCs w:val="24"/>
        </w:rPr>
      </w:pPr>
      <w:r w:rsidRPr="00743B19">
        <w:rPr>
          <w:b/>
          <w:bCs/>
          <w:sz w:val="24"/>
          <w:szCs w:val="24"/>
        </w:rPr>
        <w:t>Do you agree with the key sustainability issues that have been identified for London?</w:t>
      </w:r>
    </w:p>
    <w:p w14:paraId="0E7C50AE" w14:textId="49BAEB4C" w:rsidR="006B7292" w:rsidRPr="006B7292" w:rsidRDefault="006B7292" w:rsidP="006B7292">
      <w:pPr>
        <w:rPr>
          <w:sz w:val="24"/>
          <w:szCs w:val="24"/>
        </w:rPr>
      </w:pPr>
      <w:r w:rsidRPr="006B7292">
        <w:rPr>
          <w:sz w:val="24"/>
          <w:szCs w:val="24"/>
        </w:rPr>
        <w:t>CPRE London broadly agrees with the sustainability themes identified but considers that several are insufficiently framed.</w:t>
      </w:r>
    </w:p>
    <w:p w14:paraId="13B2E86D" w14:textId="1163C466" w:rsidR="006B7292" w:rsidRPr="006B7292" w:rsidRDefault="006B7292" w:rsidP="006B7292">
      <w:pPr>
        <w:rPr>
          <w:sz w:val="24"/>
          <w:szCs w:val="24"/>
        </w:rPr>
      </w:pPr>
      <w:r w:rsidRPr="006B7292">
        <w:rPr>
          <w:sz w:val="24"/>
          <w:szCs w:val="24"/>
        </w:rPr>
        <w:t>The Scoping Report frequently treats environmental impacts as an inevitable consequence of growth. SEA good practice requires sustainability issues to be framed as questions to be tested, not outcomes to be assumed. The current framing risks normalising harm, particularly to protected open land, and moving prematurely to mitigation rather than first considering avoidance.</w:t>
      </w:r>
    </w:p>
    <w:p w14:paraId="518B61EE" w14:textId="77777777" w:rsidR="006B7292" w:rsidRPr="006B7292" w:rsidRDefault="006B7292" w:rsidP="006B7292">
      <w:pPr>
        <w:rPr>
          <w:sz w:val="24"/>
          <w:szCs w:val="24"/>
        </w:rPr>
      </w:pPr>
      <w:r w:rsidRPr="006B7292">
        <w:rPr>
          <w:sz w:val="24"/>
          <w:szCs w:val="24"/>
        </w:rPr>
        <w:t>Cumulative and indirect impacts are acknowledged but not yet sufficiently embedded. For Green Belt, Metropolitan Open Land and parks, harm often arises incrementally through repeated small decisions. Without a stronger focus on cumulative erosion, long-term loss of openness and degradation of function may not be adequately captured.</w:t>
      </w:r>
    </w:p>
    <w:p w14:paraId="6B38DA79" w14:textId="77777777" w:rsidR="006B7292" w:rsidRPr="006B7292" w:rsidRDefault="006B7292" w:rsidP="006B7292">
      <w:pPr>
        <w:rPr>
          <w:sz w:val="24"/>
          <w:szCs w:val="24"/>
        </w:rPr>
      </w:pPr>
    </w:p>
    <w:p w14:paraId="61F826BE" w14:textId="0E61E5C8" w:rsidR="006B7292" w:rsidRPr="006B7292" w:rsidRDefault="006B7292" w:rsidP="006B7292">
      <w:pPr>
        <w:rPr>
          <w:sz w:val="24"/>
          <w:szCs w:val="24"/>
        </w:rPr>
      </w:pPr>
      <w:r w:rsidRPr="006B7292">
        <w:rPr>
          <w:sz w:val="24"/>
          <w:szCs w:val="24"/>
        </w:rPr>
        <w:t>There is also insufficient recognition of irreversible land use. Burial provision represents a largely irreversible form of development, and proposals to reuse or reopen historic burial grounds can give rise to significant environmental effects. Many such sites have developed into ecologically valuable semi-natural habitats, including London priority habitats such as acid grassland, yet these long-term impacts are under-represented.</w:t>
      </w:r>
    </w:p>
    <w:p w14:paraId="173A7933" w14:textId="6FC82026" w:rsidR="006B7292" w:rsidRPr="006B7292" w:rsidRDefault="006B7292" w:rsidP="006B7292">
      <w:pPr>
        <w:rPr>
          <w:b/>
          <w:bCs/>
          <w:sz w:val="24"/>
          <w:szCs w:val="24"/>
        </w:rPr>
      </w:pPr>
      <w:r w:rsidRPr="006B7292">
        <w:rPr>
          <w:b/>
          <w:bCs/>
          <w:sz w:val="24"/>
          <w:szCs w:val="24"/>
        </w:rPr>
        <w:t>Question 4</w:t>
      </w:r>
    </w:p>
    <w:p w14:paraId="2637AB9B" w14:textId="2CC6A539" w:rsidR="006B7292" w:rsidRPr="00330140" w:rsidRDefault="006B7292" w:rsidP="006B7292">
      <w:pPr>
        <w:rPr>
          <w:b/>
          <w:bCs/>
          <w:sz w:val="24"/>
          <w:szCs w:val="24"/>
        </w:rPr>
      </w:pPr>
      <w:r w:rsidRPr="00330140">
        <w:rPr>
          <w:b/>
          <w:bCs/>
          <w:sz w:val="24"/>
          <w:szCs w:val="24"/>
        </w:rPr>
        <w:t>Do the IIA objectives and assessment questions provide a sound framework against which to assess the sustainability performance of the emerging London Plan?</w:t>
      </w:r>
    </w:p>
    <w:p w14:paraId="7F17AD22" w14:textId="1592CCD1" w:rsidR="006B7292" w:rsidRPr="006B7292" w:rsidRDefault="006B7292" w:rsidP="006B7292">
      <w:pPr>
        <w:rPr>
          <w:sz w:val="24"/>
          <w:szCs w:val="24"/>
        </w:rPr>
      </w:pPr>
      <w:r w:rsidRPr="006B7292">
        <w:rPr>
          <w:sz w:val="24"/>
          <w:szCs w:val="24"/>
        </w:rPr>
        <w:t>The proposed objectives and assessment questions provide a useful starting point but require strengthening to ensure compliance with SEA requirements and alignment with national policy.</w:t>
      </w:r>
    </w:p>
    <w:p w14:paraId="764CF513" w14:textId="133751C6" w:rsidR="006B7292" w:rsidRPr="006B7292" w:rsidRDefault="006B7292" w:rsidP="006B7292">
      <w:pPr>
        <w:rPr>
          <w:sz w:val="24"/>
          <w:szCs w:val="24"/>
        </w:rPr>
      </w:pPr>
      <w:r w:rsidRPr="006B7292">
        <w:rPr>
          <w:sz w:val="24"/>
          <w:szCs w:val="24"/>
        </w:rPr>
        <w:t>While the framework recognises the need to assess reasonable alternatives, it does not yet demonstrate that alternatives will be genuinely distinct. It is not clear that avoidance-led options which minimise harm to Green Belt and Metropolitan Open Land, or alternative delivery trajectories reflecting economic uncertainty, will be meaningfully tested. Without this clarity, there is a risk that alternatives are limited to variations of a single growth-led approach.</w:t>
      </w:r>
    </w:p>
    <w:p w14:paraId="44FA9626" w14:textId="6D3BC5A6" w:rsidR="006B7292" w:rsidRPr="006B7292" w:rsidRDefault="006B7292" w:rsidP="006B7292">
      <w:pPr>
        <w:rPr>
          <w:sz w:val="24"/>
          <w:szCs w:val="24"/>
        </w:rPr>
      </w:pPr>
      <w:r w:rsidRPr="006B7292">
        <w:rPr>
          <w:sz w:val="24"/>
          <w:szCs w:val="24"/>
        </w:rPr>
        <w:t>The assessment framework focuses primarily on minimising or mitigating impacts rather than clearly embedding the mitigation hierarchy of avoid, reduce and then mitigate. Given the strength of national policy protection for Green Belt and Metropolitan Open Land, avoidance should be central.</w:t>
      </w:r>
    </w:p>
    <w:p w14:paraId="459FF4F7" w14:textId="00FDD051" w:rsidR="006B7292" w:rsidRPr="006B7292" w:rsidRDefault="006B7292" w:rsidP="006B7292">
      <w:pPr>
        <w:rPr>
          <w:sz w:val="24"/>
          <w:szCs w:val="24"/>
        </w:rPr>
      </w:pPr>
      <w:r w:rsidRPr="006B7292">
        <w:rPr>
          <w:sz w:val="24"/>
          <w:szCs w:val="24"/>
        </w:rPr>
        <w:t>The revised National Planning Policy Framework published in December 2024 reinforces the permanence and strategic role of the Green Belt, retains the exceptional circumstances test for boundary changes, and introduces the concept of grey belt. While grey belt has the potential to support more granular and evidence-led assessment of land within the Green Belt, it also introduces a heightened risk of incremental and cumulative erosion if not applied within a clear and robust assessment framework. The IIA should therefore explicitly test how grey belt is defined, applied and distinguished from the wider Green Belt, and assess whether its use genuinely reduces environmental harm or instead functions as a mechanism for meeting housing targets with limited consideration of reasonable, avoidance-led alternatives. In particular, the framework should assess impacts on the integrity, function and permanence of the remaining Green Belt, rather than treating grey belt land in isolation.</w:t>
      </w:r>
    </w:p>
    <w:p w14:paraId="300AD83F" w14:textId="3B6321FE" w:rsidR="006B7292" w:rsidRPr="006B7292" w:rsidRDefault="006B7292" w:rsidP="006B7292">
      <w:pPr>
        <w:rPr>
          <w:sz w:val="24"/>
          <w:szCs w:val="24"/>
        </w:rPr>
      </w:pPr>
      <w:r w:rsidRPr="006B7292">
        <w:rPr>
          <w:sz w:val="24"/>
          <w:szCs w:val="24"/>
        </w:rPr>
        <w:t xml:space="preserve">In line with CPRE’s long-standing position on the importance of Green Belt permanence and integrity, this could include an assessment question such as: </w:t>
      </w:r>
      <w:r w:rsidRPr="006F01EF">
        <w:rPr>
          <w:i/>
          <w:iCs/>
          <w:sz w:val="24"/>
          <w:szCs w:val="24"/>
        </w:rPr>
        <w:t>To what extent would the identification and development of grey belt land, individually and cumulatively, affect the integrity, function and permanence of the remaining Green Belt, and how does this compare with reasonable, avoidance-led alternatives that do not rely on Green Belt land?</w:t>
      </w:r>
    </w:p>
    <w:p w14:paraId="2B16C5B9" w14:textId="77777777" w:rsidR="006B7292" w:rsidRPr="006B7292" w:rsidRDefault="006B7292" w:rsidP="006B7292">
      <w:pPr>
        <w:rPr>
          <w:b/>
          <w:bCs/>
          <w:sz w:val="24"/>
          <w:szCs w:val="24"/>
        </w:rPr>
      </w:pPr>
      <w:r w:rsidRPr="006B7292">
        <w:rPr>
          <w:b/>
          <w:bCs/>
          <w:sz w:val="24"/>
          <w:szCs w:val="24"/>
        </w:rPr>
        <w:t>Conclusion</w:t>
      </w:r>
    </w:p>
    <w:p w14:paraId="1E3D4E8B" w14:textId="452091FB" w:rsidR="006B7292" w:rsidRPr="006B7292" w:rsidRDefault="006B7292" w:rsidP="006B7292">
      <w:pPr>
        <w:rPr>
          <w:sz w:val="24"/>
          <w:szCs w:val="24"/>
        </w:rPr>
      </w:pPr>
      <w:r w:rsidRPr="006B7292">
        <w:rPr>
          <w:sz w:val="24"/>
          <w:szCs w:val="24"/>
        </w:rPr>
        <w:t xml:space="preserve">CPRE London considers that the Draft IIA Scoping Report provides a useful starting point but does not yet offer a sufficiently robust or neutral framework to assess the sustainability of the emerging </w:t>
      </w:r>
      <w:r w:rsidRPr="006B7292">
        <w:rPr>
          <w:sz w:val="24"/>
          <w:szCs w:val="24"/>
        </w:rPr>
        <w:lastRenderedPageBreak/>
        <w:t xml:space="preserve">London Plan </w:t>
      </w:r>
      <w:r w:rsidR="001B0DBB">
        <w:rPr>
          <w:sz w:val="24"/>
          <w:szCs w:val="24"/>
        </w:rPr>
        <w:t xml:space="preserve">in a context of </w:t>
      </w:r>
      <w:r w:rsidR="001B0DBB" w:rsidRPr="001B0DBB">
        <w:rPr>
          <w:sz w:val="24"/>
          <w:szCs w:val="24"/>
        </w:rPr>
        <w:t>heightened pressure for release of lower value land, and extremely high requirements for land allocation for housing more generally.</w:t>
      </w:r>
    </w:p>
    <w:p w14:paraId="5CD54775" w14:textId="1F6945F4" w:rsidR="006B7292" w:rsidRPr="006B7292" w:rsidRDefault="006B7292" w:rsidP="006B7292">
      <w:pPr>
        <w:rPr>
          <w:sz w:val="24"/>
          <w:szCs w:val="24"/>
        </w:rPr>
      </w:pPr>
      <w:r w:rsidRPr="006B7292">
        <w:rPr>
          <w:sz w:val="24"/>
          <w:szCs w:val="24"/>
        </w:rPr>
        <w:t>In particular, the framing of housing targets in paragraphs 4.22 and 4.30 risks constraining the role of the IIA by treating those targets as fixed requirements rather than assumptions to be tested against environmental limits. Green Belt, Metropolitan Open Land and parks are acknowledged but not yet treated as strategic constraints with the full weight required by national policy.</w:t>
      </w:r>
    </w:p>
    <w:p w14:paraId="1A112DDD" w14:textId="6F143CE2" w:rsidR="00606B3F" w:rsidRPr="00C809AA" w:rsidRDefault="006B7292" w:rsidP="00C809AA">
      <w:pPr>
        <w:rPr>
          <w:sz w:val="24"/>
          <w:szCs w:val="24"/>
        </w:rPr>
      </w:pPr>
      <w:r w:rsidRPr="006B7292">
        <w:rPr>
          <w:sz w:val="24"/>
          <w:szCs w:val="24"/>
        </w:rPr>
        <w:t>If these issues are not addressed at scoping stage, there is a material risk that the IIA will be unable to demonstrate that reasonable, avoidance-led alternatives have been properly assessed. The Scoping Report should therefore be strengthened now to ensure that the IIA can genuinely inform strategic choices, withstand scrutiny at Examination in Public, and provide a sound and legally robust basis for the preparation of the London Plan.</w:t>
      </w:r>
    </w:p>
    <w:p w14:paraId="1F62EE30" w14:textId="7D0B02C7" w:rsidR="006C6EEF" w:rsidRPr="00606B3F" w:rsidRDefault="006C6EEF" w:rsidP="006C6EEF">
      <w:pPr>
        <w:spacing w:after="0" w:line="240" w:lineRule="auto"/>
        <w:rPr>
          <w:sz w:val="24"/>
          <w:szCs w:val="24"/>
        </w:rPr>
      </w:pPr>
      <w:r w:rsidRPr="00606B3F">
        <w:rPr>
          <w:sz w:val="24"/>
          <w:szCs w:val="24"/>
        </w:rPr>
        <w:t>Yours faithfully,</w:t>
      </w:r>
    </w:p>
    <w:p w14:paraId="5B0D5CED" w14:textId="68DDC888" w:rsidR="006C6EEF" w:rsidRPr="00606B3F" w:rsidRDefault="006C6EEF" w:rsidP="006C6EEF">
      <w:pPr>
        <w:spacing w:after="0" w:line="240" w:lineRule="auto"/>
        <w:rPr>
          <w:sz w:val="24"/>
          <w:szCs w:val="24"/>
        </w:rPr>
      </w:pPr>
      <w:r w:rsidRPr="00606B3F">
        <w:rPr>
          <w:sz w:val="24"/>
          <w:szCs w:val="24"/>
        </w:rPr>
        <w:t>Alice Roberts</w:t>
      </w:r>
    </w:p>
    <w:p w14:paraId="2AB2C4B1" w14:textId="77777777" w:rsidR="006C6EEF" w:rsidRPr="00606B3F" w:rsidRDefault="006C6EEF" w:rsidP="006C6EEF">
      <w:pPr>
        <w:spacing w:after="0" w:line="240" w:lineRule="auto"/>
        <w:rPr>
          <w:sz w:val="24"/>
          <w:szCs w:val="24"/>
        </w:rPr>
      </w:pPr>
      <w:r w:rsidRPr="00606B3F">
        <w:rPr>
          <w:sz w:val="24"/>
          <w:szCs w:val="24"/>
        </w:rPr>
        <w:t xml:space="preserve">Head of Campaigns </w:t>
      </w:r>
    </w:p>
    <w:p w14:paraId="637FDC1B" w14:textId="77777777" w:rsidR="00E95529" w:rsidRPr="009B12C6" w:rsidRDefault="006C6EEF" w:rsidP="006C6EEF">
      <w:pPr>
        <w:spacing w:after="0" w:line="240" w:lineRule="auto"/>
        <w:rPr>
          <w:sz w:val="24"/>
          <w:szCs w:val="24"/>
          <w:lang w:val="it-IT"/>
        </w:rPr>
      </w:pPr>
      <w:r w:rsidRPr="009B12C6">
        <w:rPr>
          <w:sz w:val="24"/>
          <w:szCs w:val="24"/>
          <w:lang w:val="it-IT"/>
        </w:rPr>
        <w:t xml:space="preserve">CPRE London </w:t>
      </w:r>
    </w:p>
    <w:p w14:paraId="209CDF5A" w14:textId="70A4E86D" w:rsidR="00E95529" w:rsidRPr="009B12C6" w:rsidRDefault="00000000" w:rsidP="006C6EEF">
      <w:pPr>
        <w:spacing w:after="0" w:line="240" w:lineRule="auto"/>
        <w:rPr>
          <w:sz w:val="24"/>
          <w:szCs w:val="24"/>
          <w:lang w:val="it-IT"/>
        </w:rPr>
      </w:pPr>
      <w:hyperlink r:id="rId11" w:history="1">
        <w:r w:rsidR="00E95529" w:rsidRPr="009B12C6">
          <w:rPr>
            <w:rStyle w:val="Hyperlink"/>
            <w:sz w:val="24"/>
            <w:szCs w:val="24"/>
            <w:lang w:val="it-IT"/>
          </w:rPr>
          <w:t>alice.roberts@cprelondon.org.uk</w:t>
        </w:r>
      </w:hyperlink>
    </w:p>
    <w:p w14:paraId="26910122" w14:textId="6C8B55B3" w:rsidR="0063398E" w:rsidRPr="00DD2FEF" w:rsidRDefault="006C6EEF" w:rsidP="00E05A0D">
      <w:pPr>
        <w:spacing w:after="0" w:line="240" w:lineRule="auto"/>
        <w:rPr>
          <w:sz w:val="24"/>
          <w:szCs w:val="24"/>
        </w:rPr>
      </w:pPr>
      <w:r w:rsidRPr="00606B3F">
        <w:rPr>
          <w:sz w:val="24"/>
          <w:szCs w:val="24"/>
        </w:rPr>
        <w:t>07792942691</w:t>
      </w:r>
    </w:p>
    <w:sectPr w:rsidR="0063398E" w:rsidRPr="00DD2FEF" w:rsidSect="00C4228F">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D9CED" w14:textId="77777777" w:rsidR="00430DD6" w:rsidRDefault="00430DD6" w:rsidP="009E6F4A">
      <w:pPr>
        <w:spacing w:after="0" w:line="240" w:lineRule="auto"/>
      </w:pPr>
      <w:r>
        <w:separator/>
      </w:r>
    </w:p>
  </w:endnote>
  <w:endnote w:type="continuationSeparator" w:id="0">
    <w:p w14:paraId="4AFE09C7" w14:textId="77777777" w:rsidR="00430DD6" w:rsidRDefault="00430DD6" w:rsidP="009E6F4A">
      <w:pPr>
        <w:spacing w:after="0" w:line="240" w:lineRule="auto"/>
      </w:pPr>
      <w:r>
        <w:continuationSeparator/>
      </w:r>
    </w:p>
  </w:endnote>
  <w:endnote w:type="continuationNotice" w:id="1">
    <w:p w14:paraId="744E55DB" w14:textId="77777777" w:rsidR="00430DD6" w:rsidRDefault="00430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336953"/>
      <w:docPartObj>
        <w:docPartGallery w:val="Page Numbers (Bottom of Page)"/>
        <w:docPartUnique/>
      </w:docPartObj>
    </w:sdtPr>
    <w:sdtEndPr>
      <w:rPr>
        <w:rFonts w:cstheme="minorHAnsi"/>
        <w:noProof/>
        <w:sz w:val="20"/>
        <w:szCs w:val="20"/>
      </w:rPr>
    </w:sdtEndPr>
    <w:sdtContent>
      <w:p w14:paraId="31A1B3B3" w14:textId="3FD7D8DE" w:rsidR="009E6F4A" w:rsidRPr="00F94F79" w:rsidRDefault="009E6F4A">
        <w:pPr>
          <w:pStyle w:val="Footer"/>
          <w:jc w:val="center"/>
          <w:rPr>
            <w:rFonts w:cstheme="minorHAnsi"/>
            <w:sz w:val="20"/>
            <w:szCs w:val="20"/>
          </w:rPr>
        </w:pPr>
        <w:r w:rsidRPr="00F94F79">
          <w:rPr>
            <w:rFonts w:cstheme="minorHAnsi"/>
            <w:sz w:val="20"/>
            <w:szCs w:val="20"/>
          </w:rPr>
          <w:fldChar w:fldCharType="begin"/>
        </w:r>
        <w:r w:rsidRPr="00F94F79">
          <w:rPr>
            <w:rFonts w:cstheme="minorHAnsi"/>
            <w:sz w:val="20"/>
            <w:szCs w:val="20"/>
          </w:rPr>
          <w:instrText xml:space="preserve"> PAGE   \* MERGEFORMAT </w:instrText>
        </w:r>
        <w:r w:rsidRPr="00F94F79">
          <w:rPr>
            <w:rFonts w:cstheme="minorHAnsi"/>
            <w:sz w:val="20"/>
            <w:szCs w:val="20"/>
          </w:rPr>
          <w:fldChar w:fldCharType="separate"/>
        </w:r>
        <w:r w:rsidRPr="00F94F79">
          <w:rPr>
            <w:rFonts w:cstheme="minorHAnsi"/>
            <w:noProof/>
            <w:sz w:val="20"/>
            <w:szCs w:val="20"/>
          </w:rPr>
          <w:t>2</w:t>
        </w:r>
        <w:r w:rsidRPr="00F94F79">
          <w:rPr>
            <w:rFonts w:cstheme="minorHAnsi"/>
            <w:noProof/>
            <w:sz w:val="20"/>
            <w:szCs w:val="20"/>
          </w:rPr>
          <w:fldChar w:fldCharType="end"/>
        </w:r>
      </w:p>
    </w:sdtContent>
  </w:sdt>
  <w:p w14:paraId="15690FBB" w14:textId="77777777" w:rsidR="009E6F4A" w:rsidRDefault="009E6F4A" w:rsidP="00D82565">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1809" w14:textId="77777777" w:rsidR="00BE60A3" w:rsidRPr="00F94F79" w:rsidRDefault="00BE60A3" w:rsidP="00BE60A3">
    <w:pPr>
      <w:pStyle w:val="Header"/>
      <w:jc w:val="right"/>
      <w:rPr>
        <w:sz w:val="20"/>
        <w:szCs w:val="20"/>
      </w:rPr>
    </w:pPr>
    <w:r w:rsidRPr="00F94F79">
      <w:rPr>
        <w:sz w:val="20"/>
        <w:szCs w:val="20"/>
      </w:rPr>
      <w:t xml:space="preserve">Registered charity number </w:t>
    </w:r>
    <w:r w:rsidRPr="00E95529">
      <w:rPr>
        <w:sz w:val="20"/>
        <w:szCs w:val="20"/>
      </w:rPr>
      <w:t>1200094</w:t>
    </w:r>
  </w:p>
  <w:p w14:paraId="0A32C71C" w14:textId="77777777" w:rsidR="00BE60A3" w:rsidRDefault="00BE6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B3AD" w14:textId="77777777" w:rsidR="00430DD6" w:rsidRDefault="00430DD6" w:rsidP="009E6F4A">
      <w:pPr>
        <w:spacing w:after="0" w:line="240" w:lineRule="auto"/>
      </w:pPr>
      <w:r>
        <w:separator/>
      </w:r>
    </w:p>
  </w:footnote>
  <w:footnote w:type="continuationSeparator" w:id="0">
    <w:p w14:paraId="2EC154AF" w14:textId="77777777" w:rsidR="00430DD6" w:rsidRDefault="00430DD6" w:rsidP="009E6F4A">
      <w:pPr>
        <w:spacing w:after="0" w:line="240" w:lineRule="auto"/>
      </w:pPr>
      <w:r>
        <w:continuationSeparator/>
      </w:r>
    </w:p>
  </w:footnote>
  <w:footnote w:type="continuationNotice" w:id="1">
    <w:p w14:paraId="5D4C6497" w14:textId="77777777" w:rsidR="00430DD6" w:rsidRDefault="00430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BD2D" w14:textId="27D5705B" w:rsidR="009E6F4A" w:rsidRDefault="009E6F4A" w:rsidP="009E6F4A">
    <w:pPr>
      <w:spacing w:after="0" w:line="240" w:lineRule="auto"/>
      <w:ind w:left="6804"/>
      <w:rPr>
        <w:b/>
        <w:color w:val="1A7D0D"/>
        <w:sz w:val="18"/>
        <w:szCs w:val="18"/>
      </w:rPr>
    </w:pPr>
  </w:p>
  <w:p w14:paraId="187432B1" w14:textId="77777777" w:rsidR="009E6F4A" w:rsidRDefault="009E6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4288" w14:textId="42441765" w:rsidR="00C4228F" w:rsidRDefault="00EB1D21">
    <w:pPr>
      <w:pStyle w:val="Header"/>
    </w:pPr>
    <w:r w:rsidRPr="009E6F4A">
      <w:rPr>
        <w:b/>
        <w:noProof/>
        <w:color w:val="1A7D0D"/>
        <w:sz w:val="18"/>
        <w:szCs w:val="18"/>
      </w:rPr>
      <w:drawing>
        <wp:anchor distT="0" distB="0" distL="114300" distR="114300" simplePos="0" relativeHeight="251659264" behindDoc="0" locked="0" layoutInCell="1" allowOverlap="1" wp14:anchorId="49424A58" wp14:editId="21D1A516">
          <wp:simplePos x="0" y="0"/>
          <wp:positionH relativeFrom="column">
            <wp:posOffset>-266700</wp:posOffset>
          </wp:positionH>
          <wp:positionV relativeFrom="paragraph">
            <wp:posOffset>-175895</wp:posOffset>
          </wp:positionV>
          <wp:extent cx="4486910" cy="1081405"/>
          <wp:effectExtent l="0" t="0" r="8890" b="4445"/>
          <wp:wrapSquare wrapText="bothSides"/>
          <wp:docPr id="720786578" name="Picture 72078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CPRELondonlogo.png"/>
                  <pic:cNvPicPr/>
                </pic:nvPicPr>
                <pic:blipFill>
                  <a:blip r:embed="rId1">
                    <a:extLst>
                      <a:ext uri="{28A0092B-C50C-407E-A947-70E740481C1C}">
                        <a14:useLocalDpi xmlns:a14="http://schemas.microsoft.com/office/drawing/2010/main" val="0"/>
                      </a:ext>
                    </a:extLst>
                  </a:blip>
                  <a:stretch>
                    <a:fillRect/>
                  </a:stretch>
                </pic:blipFill>
                <pic:spPr>
                  <a:xfrm>
                    <a:off x="0" y="0"/>
                    <a:ext cx="4486910" cy="1081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AEE"/>
    <w:multiLevelType w:val="hybridMultilevel"/>
    <w:tmpl w:val="B2701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54EB1"/>
    <w:multiLevelType w:val="multilevel"/>
    <w:tmpl w:val="39164CC8"/>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u w:val="single"/>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96DFF"/>
    <w:multiLevelType w:val="hybridMultilevel"/>
    <w:tmpl w:val="F4F87B74"/>
    <w:lvl w:ilvl="0" w:tplc="84368F88">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95AAA"/>
    <w:multiLevelType w:val="multilevel"/>
    <w:tmpl w:val="DCC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84841"/>
    <w:multiLevelType w:val="hybridMultilevel"/>
    <w:tmpl w:val="10F6024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72703C"/>
    <w:multiLevelType w:val="hybridMultilevel"/>
    <w:tmpl w:val="12943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FC6138"/>
    <w:multiLevelType w:val="hybridMultilevel"/>
    <w:tmpl w:val="D4CE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73FD6"/>
    <w:multiLevelType w:val="hybridMultilevel"/>
    <w:tmpl w:val="9072E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C4091E"/>
    <w:multiLevelType w:val="hybridMultilevel"/>
    <w:tmpl w:val="D550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555A2"/>
    <w:multiLevelType w:val="multilevel"/>
    <w:tmpl w:val="EB3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A5590E"/>
    <w:multiLevelType w:val="hybridMultilevel"/>
    <w:tmpl w:val="51665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8F13FF"/>
    <w:multiLevelType w:val="hybridMultilevel"/>
    <w:tmpl w:val="C7C67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180FE1"/>
    <w:multiLevelType w:val="hybridMultilevel"/>
    <w:tmpl w:val="CB6A5E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C31900"/>
    <w:multiLevelType w:val="hybridMultilevel"/>
    <w:tmpl w:val="5ABAF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C4307B"/>
    <w:multiLevelType w:val="multilevel"/>
    <w:tmpl w:val="2FC430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532FD2"/>
    <w:multiLevelType w:val="hybridMultilevel"/>
    <w:tmpl w:val="B0380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CD39F9"/>
    <w:multiLevelType w:val="hybridMultilevel"/>
    <w:tmpl w:val="EE945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61276C"/>
    <w:multiLevelType w:val="hybridMultilevel"/>
    <w:tmpl w:val="848C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745E95"/>
    <w:multiLevelType w:val="hybridMultilevel"/>
    <w:tmpl w:val="924AA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707ABA"/>
    <w:multiLevelType w:val="multilevel"/>
    <w:tmpl w:val="E572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7E6C3B"/>
    <w:multiLevelType w:val="multilevel"/>
    <w:tmpl w:val="EA0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738CF"/>
    <w:multiLevelType w:val="multilevel"/>
    <w:tmpl w:val="543E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C46FC"/>
    <w:multiLevelType w:val="multilevel"/>
    <w:tmpl w:val="ED62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7A3F75"/>
    <w:multiLevelType w:val="hybridMultilevel"/>
    <w:tmpl w:val="733410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BAC0D5C"/>
    <w:multiLevelType w:val="hybridMultilevel"/>
    <w:tmpl w:val="A6DA6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4910DB"/>
    <w:multiLevelType w:val="hybridMultilevel"/>
    <w:tmpl w:val="A4EC8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4A7D25"/>
    <w:multiLevelType w:val="multilevel"/>
    <w:tmpl w:val="624A7D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C73F19"/>
    <w:multiLevelType w:val="hybridMultilevel"/>
    <w:tmpl w:val="432EC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C03B3E"/>
    <w:multiLevelType w:val="hybridMultilevel"/>
    <w:tmpl w:val="F4C4A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774546"/>
    <w:multiLevelType w:val="hybridMultilevel"/>
    <w:tmpl w:val="A9C6B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356188"/>
    <w:multiLevelType w:val="multilevel"/>
    <w:tmpl w:val="CC04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933C98"/>
    <w:multiLevelType w:val="hybridMultilevel"/>
    <w:tmpl w:val="B784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01990">
    <w:abstractNumId w:val="31"/>
  </w:num>
  <w:num w:numId="2" w16cid:durableId="80953656">
    <w:abstractNumId w:val="5"/>
  </w:num>
  <w:num w:numId="3" w16cid:durableId="775365751">
    <w:abstractNumId w:val="25"/>
  </w:num>
  <w:num w:numId="4" w16cid:durableId="1775245963">
    <w:abstractNumId w:val="11"/>
  </w:num>
  <w:num w:numId="5" w16cid:durableId="280916168">
    <w:abstractNumId w:val="10"/>
  </w:num>
  <w:num w:numId="6" w16cid:durableId="1574660356">
    <w:abstractNumId w:val="1"/>
  </w:num>
  <w:num w:numId="7" w16cid:durableId="1964925240">
    <w:abstractNumId w:val="20"/>
  </w:num>
  <w:num w:numId="8" w16cid:durableId="1396588292">
    <w:abstractNumId w:val="3"/>
  </w:num>
  <w:num w:numId="9" w16cid:durableId="1761103312">
    <w:abstractNumId w:val="21"/>
  </w:num>
  <w:num w:numId="10" w16cid:durableId="542061105">
    <w:abstractNumId w:val="9"/>
  </w:num>
  <w:num w:numId="11" w16cid:durableId="1872254955">
    <w:abstractNumId w:val="30"/>
  </w:num>
  <w:num w:numId="12" w16cid:durableId="1451630217">
    <w:abstractNumId w:val="19"/>
  </w:num>
  <w:num w:numId="13" w16cid:durableId="643119397">
    <w:abstractNumId w:val="22"/>
  </w:num>
  <w:num w:numId="14" w16cid:durableId="1344555086">
    <w:abstractNumId w:val="15"/>
  </w:num>
  <w:num w:numId="15" w16cid:durableId="1545827808">
    <w:abstractNumId w:val="27"/>
  </w:num>
  <w:num w:numId="16" w16cid:durableId="663976768">
    <w:abstractNumId w:val="24"/>
  </w:num>
  <w:num w:numId="17" w16cid:durableId="1994216440">
    <w:abstractNumId w:val="28"/>
  </w:num>
  <w:num w:numId="18" w16cid:durableId="1019086713">
    <w:abstractNumId w:val="16"/>
  </w:num>
  <w:num w:numId="19" w16cid:durableId="1399940208">
    <w:abstractNumId w:val="23"/>
  </w:num>
  <w:num w:numId="20" w16cid:durableId="445662882">
    <w:abstractNumId w:val="0"/>
  </w:num>
  <w:num w:numId="21" w16cid:durableId="1089737002">
    <w:abstractNumId w:val="17"/>
  </w:num>
  <w:num w:numId="22" w16cid:durableId="1522623717">
    <w:abstractNumId w:val="29"/>
  </w:num>
  <w:num w:numId="23" w16cid:durableId="1767772988">
    <w:abstractNumId w:val="7"/>
  </w:num>
  <w:num w:numId="24" w16cid:durableId="1319309158">
    <w:abstractNumId w:val="18"/>
  </w:num>
  <w:num w:numId="25" w16cid:durableId="2033919025">
    <w:abstractNumId w:val="4"/>
  </w:num>
  <w:num w:numId="26" w16cid:durableId="555703743">
    <w:abstractNumId w:val="8"/>
  </w:num>
  <w:num w:numId="27" w16cid:durableId="572204121">
    <w:abstractNumId w:val="6"/>
  </w:num>
  <w:num w:numId="28" w16cid:durableId="734740943">
    <w:abstractNumId w:val="12"/>
  </w:num>
  <w:num w:numId="29" w16cid:durableId="1628512971">
    <w:abstractNumId w:val="2"/>
  </w:num>
  <w:num w:numId="30" w16cid:durableId="569390912">
    <w:abstractNumId w:val="13"/>
  </w:num>
  <w:num w:numId="31" w16cid:durableId="1195582623">
    <w:abstractNumId w:val="26"/>
  </w:num>
  <w:num w:numId="32" w16cid:durableId="474372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4A"/>
    <w:rsid w:val="00007101"/>
    <w:rsid w:val="00011CFE"/>
    <w:rsid w:val="00017A76"/>
    <w:rsid w:val="00020F8E"/>
    <w:rsid w:val="0002297B"/>
    <w:rsid w:val="0003103F"/>
    <w:rsid w:val="0003113D"/>
    <w:rsid w:val="00034BA7"/>
    <w:rsid w:val="000360F8"/>
    <w:rsid w:val="00037E4D"/>
    <w:rsid w:val="0004103B"/>
    <w:rsid w:val="00041A55"/>
    <w:rsid w:val="00043FB5"/>
    <w:rsid w:val="0004486C"/>
    <w:rsid w:val="000543B7"/>
    <w:rsid w:val="00061F95"/>
    <w:rsid w:val="00065A3C"/>
    <w:rsid w:val="000663E1"/>
    <w:rsid w:val="000677C2"/>
    <w:rsid w:val="0007237F"/>
    <w:rsid w:val="000726B2"/>
    <w:rsid w:val="00085E38"/>
    <w:rsid w:val="00085F01"/>
    <w:rsid w:val="0008690B"/>
    <w:rsid w:val="0008788D"/>
    <w:rsid w:val="00091ABA"/>
    <w:rsid w:val="000920F2"/>
    <w:rsid w:val="000A029B"/>
    <w:rsid w:val="000A1AC9"/>
    <w:rsid w:val="000A2E23"/>
    <w:rsid w:val="000B0389"/>
    <w:rsid w:val="000B3871"/>
    <w:rsid w:val="000C027F"/>
    <w:rsid w:val="000C561B"/>
    <w:rsid w:val="000C693F"/>
    <w:rsid w:val="000C6D33"/>
    <w:rsid w:val="000E564F"/>
    <w:rsid w:val="000F5440"/>
    <w:rsid w:val="000F5589"/>
    <w:rsid w:val="000F59F7"/>
    <w:rsid w:val="000F73FA"/>
    <w:rsid w:val="0010006B"/>
    <w:rsid w:val="00101A58"/>
    <w:rsid w:val="00104B20"/>
    <w:rsid w:val="00117511"/>
    <w:rsid w:val="001205E1"/>
    <w:rsid w:val="0012147E"/>
    <w:rsid w:val="00125FA5"/>
    <w:rsid w:val="00126437"/>
    <w:rsid w:val="00131E79"/>
    <w:rsid w:val="00134C03"/>
    <w:rsid w:val="00135D55"/>
    <w:rsid w:val="001405DD"/>
    <w:rsid w:val="0014134B"/>
    <w:rsid w:val="0014317A"/>
    <w:rsid w:val="001541F9"/>
    <w:rsid w:val="00161D1E"/>
    <w:rsid w:val="00166688"/>
    <w:rsid w:val="00183E52"/>
    <w:rsid w:val="00190069"/>
    <w:rsid w:val="001A2966"/>
    <w:rsid w:val="001A417B"/>
    <w:rsid w:val="001A52EF"/>
    <w:rsid w:val="001A6686"/>
    <w:rsid w:val="001A6FF9"/>
    <w:rsid w:val="001B0DBB"/>
    <w:rsid w:val="001B1E6C"/>
    <w:rsid w:val="001B7854"/>
    <w:rsid w:val="001D0686"/>
    <w:rsid w:val="001D309C"/>
    <w:rsid w:val="001D61CC"/>
    <w:rsid w:val="001E77C3"/>
    <w:rsid w:val="001F3ACF"/>
    <w:rsid w:val="0020322B"/>
    <w:rsid w:val="0020599C"/>
    <w:rsid w:val="00210A9B"/>
    <w:rsid w:val="0021298E"/>
    <w:rsid w:val="0021468E"/>
    <w:rsid w:val="00216D23"/>
    <w:rsid w:val="00221580"/>
    <w:rsid w:val="0022245F"/>
    <w:rsid w:val="00230A8A"/>
    <w:rsid w:val="00233000"/>
    <w:rsid w:val="002347C2"/>
    <w:rsid w:val="00234C18"/>
    <w:rsid w:val="00236BD4"/>
    <w:rsid w:val="00241AD4"/>
    <w:rsid w:val="00242570"/>
    <w:rsid w:val="00245249"/>
    <w:rsid w:val="0026138A"/>
    <w:rsid w:val="00262558"/>
    <w:rsid w:val="0026278D"/>
    <w:rsid w:val="002627FD"/>
    <w:rsid w:val="00263BCC"/>
    <w:rsid w:val="002814A5"/>
    <w:rsid w:val="00283290"/>
    <w:rsid w:val="0028447E"/>
    <w:rsid w:val="00284D57"/>
    <w:rsid w:val="00286CB9"/>
    <w:rsid w:val="00296FB0"/>
    <w:rsid w:val="00296FEC"/>
    <w:rsid w:val="002A261C"/>
    <w:rsid w:val="002A4F04"/>
    <w:rsid w:val="002A79BC"/>
    <w:rsid w:val="002B12C6"/>
    <w:rsid w:val="002B2319"/>
    <w:rsid w:val="002C6A3F"/>
    <w:rsid w:val="002D1858"/>
    <w:rsid w:val="002D5817"/>
    <w:rsid w:val="002D6D3F"/>
    <w:rsid w:val="002D77D0"/>
    <w:rsid w:val="002E0BD3"/>
    <w:rsid w:val="002E2F30"/>
    <w:rsid w:val="002E6E4B"/>
    <w:rsid w:val="002F5B08"/>
    <w:rsid w:val="00300D16"/>
    <w:rsid w:val="00302D63"/>
    <w:rsid w:val="00303BF0"/>
    <w:rsid w:val="00305552"/>
    <w:rsid w:val="00312526"/>
    <w:rsid w:val="003137A6"/>
    <w:rsid w:val="00316F89"/>
    <w:rsid w:val="003172EC"/>
    <w:rsid w:val="003215DF"/>
    <w:rsid w:val="00324A12"/>
    <w:rsid w:val="00324E51"/>
    <w:rsid w:val="00330140"/>
    <w:rsid w:val="00332BDA"/>
    <w:rsid w:val="003369F5"/>
    <w:rsid w:val="00336D05"/>
    <w:rsid w:val="00337F84"/>
    <w:rsid w:val="003420D5"/>
    <w:rsid w:val="00352397"/>
    <w:rsid w:val="003541EF"/>
    <w:rsid w:val="00355F50"/>
    <w:rsid w:val="003634BA"/>
    <w:rsid w:val="00365642"/>
    <w:rsid w:val="00371D0F"/>
    <w:rsid w:val="00383250"/>
    <w:rsid w:val="0039330F"/>
    <w:rsid w:val="00396478"/>
    <w:rsid w:val="00397807"/>
    <w:rsid w:val="003A22CC"/>
    <w:rsid w:val="003A69E1"/>
    <w:rsid w:val="003B5F40"/>
    <w:rsid w:val="003B6E0E"/>
    <w:rsid w:val="003D0719"/>
    <w:rsid w:val="003D1051"/>
    <w:rsid w:val="003D3FFB"/>
    <w:rsid w:val="003D40A0"/>
    <w:rsid w:val="003D6C08"/>
    <w:rsid w:val="003E0AC2"/>
    <w:rsid w:val="003E3027"/>
    <w:rsid w:val="003E50B1"/>
    <w:rsid w:val="003F55A5"/>
    <w:rsid w:val="003F75A9"/>
    <w:rsid w:val="003F77B0"/>
    <w:rsid w:val="00402A89"/>
    <w:rsid w:val="004069C7"/>
    <w:rsid w:val="00412833"/>
    <w:rsid w:val="004236BB"/>
    <w:rsid w:val="004265BB"/>
    <w:rsid w:val="00427418"/>
    <w:rsid w:val="00430DD6"/>
    <w:rsid w:val="0043218C"/>
    <w:rsid w:val="00435AFC"/>
    <w:rsid w:val="00441E03"/>
    <w:rsid w:val="0044222E"/>
    <w:rsid w:val="004445D3"/>
    <w:rsid w:val="00452BFF"/>
    <w:rsid w:val="00452FCA"/>
    <w:rsid w:val="0045309D"/>
    <w:rsid w:val="0045538F"/>
    <w:rsid w:val="00455907"/>
    <w:rsid w:val="00457740"/>
    <w:rsid w:val="00464904"/>
    <w:rsid w:val="00464E1C"/>
    <w:rsid w:val="00471D0D"/>
    <w:rsid w:val="00481ECB"/>
    <w:rsid w:val="00492E0A"/>
    <w:rsid w:val="004A67A3"/>
    <w:rsid w:val="004A79AB"/>
    <w:rsid w:val="004B54F5"/>
    <w:rsid w:val="004C01B6"/>
    <w:rsid w:val="004C2C2E"/>
    <w:rsid w:val="004C4375"/>
    <w:rsid w:val="004C59E4"/>
    <w:rsid w:val="004C715D"/>
    <w:rsid w:val="004C731D"/>
    <w:rsid w:val="004D18B2"/>
    <w:rsid w:val="004D3C73"/>
    <w:rsid w:val="004D6AB8"/>
    <w:rsid w:val="004D78BE"/>
    <w:rsid w:val="004D7F4C"/>
    <w:rsid w:val="004F015A"/>
    <w:rsid w:val="004F2022"/>
    <w:rsid w:val="004F6936"/>
    <w:rsid w:val="004F6996"/>
    <w:rsid w:val="005034DE"/>
    <w:rsid w:val="005104B0"/>
    <w:rsid w:val="00516E9A"/>
    <w:rsid w:val="005244A3"/>
    <w:rsid w:val="00530257"/>
    <w:rsid w:val="00532066"/>
    <w:rsid w:val="005436EC"/>
    <w:rsid w:val="005522E0"/>
    <w:rsid w:val="00561212"/>
    <w:rsid w:val="005643DC"/>
    <w:rsid w:val="0056444D"/>
    <w:rsid w:val="00564BC2"/>
    <w:rsid w:val="00564C6C"/>
    <w:rsid w:val="0056511C"/>
    <w:rsid w:val="0056515E"/>
    <w:rsid w:val="005713F3"/>
    <w:rsid w:val="00572C80"/>
    <w:rsid w:val="00577F50"/>
    <w:rsid w:val="005829EB"/>
    <w:rsid w:val="00582E0B"/>
    <w:rsid w:val="005A13D8"/>
    <w:rsid w:val="005A2253"/>
    <w:rsid w:val="005B433C"/>
    <w:rsid w:val="005C4160"/>
    <w:rsid w:val="005C438F"/>
    <w:rsid w:val="005C53A9"/>
    <w:rsid w:val="005C5CB3"/>
    <w:rsid w:val="005D2A5C"/>
    <w:rsid w:val="005D3B47"/>
    <w:rsid w:val="005E1DA5"/>
    <w:rsid w:val="005F1211"/>
    <w:rsid w:val="00606B3F"/>
    <w:rsid w:val="006102EF"/>
    <w:rsid w:val="006116EF"/>
    <w:rsid w:val="00613A40"/>
    <w:rsid w:val="00621F29"/>
    <w:rsid w:val="00622A87"/>
    <w:rsid w:val="0063398E"/>
    <w:rsid w:val="00640CD3"/>
    <w:rsid w:val="00647020"/>
    <w:rsid w:val="00650A73"/>
    <w:rsid w:val="00652BE1"/>
    <w:rsid w:val="00654258"/>
    <w:rsid w:val="0066031B"/>
    <w:rsid w:val="0066676D"/>
    <w:rsid w:val="00670159"/>
    <w:rsid w:val="00670DBF"/>
    <w:rsid w:val="0067683D"/>
    <w:rsid w:val="0068477B"/>
    <w:rsid w:val="00686930"/>
    <w:rsid w:val="00691A84"/>
    <w:rsid w:val="006922E8"/>
    <w:rsid w:val="006A0415"/>
    <w:rsid w:val="006A048E"/>
    <w:rsid w:val="006A06EE"/>
    <w:rsid w:val="006A0B63"/>
    <w:rsid w:val="006A3D0F"/>
    <w:rsid w:val="006B55C1"/>
    <w:rsid w:val="006B57DC"/>
    <w:rsid w:val="006B6B35"/>
    <w:rsid w:val="006B7292"/>
    <w:rsid w:val="006C5710"/>
    <w:rsid w:val="006C6EEF"/>
    <w:rsid w:val="006D3AFE"/>
    <w:rsid w:val="006E01EF"/>
    <w:rsid w:val="006E1CC8"/>
    <w:rsid w:val="006E1DCF"/>
    <w:rsid w:val="006E21D5"/>
    <w:rsid w:val="006F01EF"/>
    <w:rsid w:val="006F296F"/>
    <w:rsid w:val="006F6CAC"/>
    <w:rsid w:val="006F70C2"/>
    <w:rsid w:val="006F7231"/>
    <w:rsid w:val="006F7C2E"/>
    <w:rsid w:val="00700F76"/>
    <w:rsid w:val="0070203B"/>
    <w:rsid w:val="00702362"/>
    <w:rsid w:val="00702371"/>
    <w:rsid w:val="00713D43"/>
    <w:rsid w:val="00716BA3"/>
    <w:rsid w:val="00726BF8"/>
    <w:rsid w:val="00727FF0"/>
    <w:rsid w:val="00733F4A"/>
    <w:rsid w:val="00734A9D"/>
    <w:rsid w:val="00741332"/>
    <w:rsid w:val="00743B19"/>
    <w:rsid w:val="0074660A"/>
    <w:rsid w:val="0076080C"/>
    <w:rsid w:val="00762869"/>
    <w:rsid w:val="00763DBB"/>
    <w:rsid w:val="00766EE7"/>
    <w:rsid w:val="007809CE"/>
    <w:rsid w:val="00784428"/>
    <w:rsid w:val="00785FA7"/>
    <w:rsid w:val="007905B4"/>
    <w:rsid w:val="00792804"/>
    <w:rsid w:val="00795815"/>
    <w:rsid w:val="007A1909"/>
    <w:rsid w:val="007B32D2"/>
    <w:rsid w:val="007B5026"/>
    <w:rsid w:val="007B6161"/>
    <w:rsid w:val="007C0740"/>
    <w:rsid w:val="007C0F2D"/>
    <w:rsid w:val="007C680E"/>
    <w:rsid w:val="007D00A3"/>
    <w:rsid w:val="007D6615"/>
    <w:rsid w:val="007D6D02"/>
    <w:rsid w:val="007E6738"/>
    <w:rsid w:val="007F4D7D"/>
    <w:rsid w:val="007F703D"/>
    <w:rsid w:val="007F7CA9"/>
    <w:rsid w:val="008036D4"/>
    <w:rsid w:val="00805477"/>
    <w:rsid w:val="008117B5"/>
    <w:rsid w:val="00814D21"/>
    <w:rsid w:val="00816D52"/>
    <w:rsid w:val="00821E0D"/>
    <w:rsid w:val="00822AC3"/>
    <w:rsid w:val="00825D78"/>
    <w:rsid w:val="00826696"/>
    <w:rsid w:val="0083231F"/>
    <w:rsid w:val="00832AB9"/>
    <w:rsid w:val="00833554"/>
    <w:rsid w:val="00836716"/>
    <w:rsid w:val="00841947"/>
    <w:rsid w:val="00843D9D"/>
    <w:rsid w:val="00846691"/>
    <w:rsid w:val="0086242A"/>
    <w:rsid w:val="00866A18"/>
    <w:rsid w:val="00867B1A"/>
    <w:rsid w:val="0087029F"/>
    <w:rsid w:val="00874102"/>
    <w:rsid w:val="00877679"/>
    <w:rsid w:val="008848BE"/>
    <w:rsid w:val="00885D96"/>
    <w:rsid w:val="00886902"/>
    <w:rsid w:val="008962F1"/>
    <w:rsid w:val="008A4483"/>
    <w:rsid w:val="008B2012"/>
    <w:rsid w:val="008B33C2"/>
    <w:rsid w:val="008B395C"/>
    <w:rsid w:val="008B5474"/>
    <w:rsid w:val="008B6AE6"/>
    <w:rsid w:val="008C208D"/>
    <w:rsid w:val="008C2F06"/>
    <w:rsid w:val="008D4E27"/>
    <w:rsid w:val="008D5620"/>
    <w:rsid w:val="008D7FF3"/>
    <w:rsid w:val="008E0BEF"/>
    <w:rsid w:val="008E47AA"/>
    <w:rsid w:val="008F30F6"/>
    <w:rsid w:val="008F6F95"/>
    <w:rsid w:val="008F7B8F"/>
    <w:rsid w:val="00901B27"/>
    <w:rsid w:val="0090677D"/>
    <w:rsid w:val="0091566A"/>
    <w:rsid w:val="0091706B"/>
    <w:rsid w:val="009177DE"/>
    <w:rsid w:val="00921513"/>
    <w:rsid w:val="00927CD8"/>
    <w:rsid w:val="00935D49"/>
    <w:rsid w:val="009439E9"/>
    <w:rsid w:val="00944DCC"/>
    <w:rsid w:val="00947952"/>
    <w:rsid w:val="009521F2"/>
    <w:rsid w:val="009546EA"/>
    <w:rsid w:val="00963F57"/>
    <w:rsid w:val="00974B27"/>
    <w:rsid w:val="00974B55"/>
    <w:rsid w:val="00974CD1"/>
    <w:rsid w:val="00981D29"/>
    <w:rsid w:val="00982659"/>
    <w:rsid w:val="009912C9"/>
    <w:rsid w:val="00992605"/>
    <w:rsid w:val="009A3549"/>
    <w:rsid w:val="009A400A"/>
    <w:rsid w:val="009A5620"/>
    <w:rsid w:val="009A5D42"/>
    <w:rsid w:val="009B062D"/>
    <w:rsid w:val="009B12C6"/>
    <w:rsid w:val="009B3CC9"/>
    <w:rsid w:val="009B5DC9"/>
    <w:rsid w:val="009B5F45"/>
    <w:rsid w:val="009E17BC"/>
    <w:rsid w:val="009E20A0"/>
    <w:rsid w:val="009E2B4C"/>
    <w:rsid w:val="009E6F4A"/>
    <w:rsid w:val="009F047A"/>
    <w:rsid w:val="009F130A"/>
    <w:rsid w:val="009F66AD"/>
    <w:rsid w:val="00A026EB"/>
    <w:rsid w:val="00A04B23"/>
    <w:rsid w:val="00A13A35"/>
    <w:rsid w:val="00A161DD"/>
    <w:rsid w:val="00A16D45"/>
    <w:rsid w:val="00A17530"/>
    <w:rsid w:val="00A17799"/>
    <w:rsid w:val="00A201B2"/>
    <w:rsid w:val="00A205FB"/>
    <w:rsid w:val="00A20E06"/>
    <w:rsid w:val="00A21C1A"/>
    <w:rsid w:val="00A270BF"/>
    <w:rsid w:val="00A430F4"/>
    <w:rsid w:val="00A46BC5"/>
    <w:rsid w:val="00A5262A"/>
    <w:rsid w:val="00A640BF"/>
    <w:rsid w:val="00A6502F"/>
    <w:rsid w:val="00A71463"/>
    <w:rsid w:val="00A75C68"/>
    <w:rsid w:val="00A76E5D"/>
    <w:rsid w:val="00A8236A"/>
    <w:rsid w:val="00A8525A"/>
    <w:rsid w:val="00AA5E7B"/>
    <w:rsid w:val="00AA72EC"/>
    <w:rsid w:val="00AA7E5F"/>
    <w:rsid w:val="00AC1D66"/>
    <w:rsid w:val="00AC46E7"/>
    <w:rsid w:val="00AD13E3"/>
    <w:rsid w:val="00AD1AD9"/>
    <w:rsid w:val="00AD2C7A"/>
    <w:rsid w:val="00AD776A"/>
    <w:rsid w:val="00AE3B53"/>
    <w:rsid w:val="00AE7718"/>
    <w:rsid w:val="00AF5C0B"/>
    <w:rsid w:val="00AF64AE"/>
    <w:rsid w:val="00AF6A58"/>
    <w:rsid w:val="00AF6D25"/>
    <w:rsid w:val="00B11F6D"/>
    <w:rsid w:val="00B132FC"/>
    <w:rsid w:val="00B1700B"/>
    <w:rsid w:val="00B17D2B"/>
    <w:rsid w:val="00B22051"/>
    <w:rsid w:val="00B27285"/>
    <w:rsid w:val="00B309BD"/>
    <w:rsid w:val="00B50503"/>
    <w:rsid w:val="00B5242B"/>
    <w:rsid w:val="00B56F92"/>
    <w:rsid w:val="00B571A8"/>
    <w:rsid w:val="00B624C7"/>
    <w:rsid w:val="00B72787"/>
    <w:rsid w:val="00B742C9"/>
    <w:rsid w:val="00B84EE0"/>
    <w:rsid w:val="00B85218"/>
    <w:rsid w:val="00B902A4"/>
    <w:rsid w:val="00B945CC"/>
    <w:rsid w:val="00B96748"/>
    <w:rsid w:val="00BA59D1"/>
    <w:rsid w:val="00BC7274"/>
    <w:rsid w:val="00BC7810"/>
    <w:rsid w:val="00BE05E8"/>
    <w:rsid w:val="00BE0E61"/>
    <w:rsid w:val="00BE2476"/>
    <w:rsid w:val="00BE3B89"/>
    <w:rsid w:val="00BE6016"/>
    <w:rsid w:val="00BE60A3"/>
    <w:rsid w:val="00BF1EB8"/>
    <w:rsid w:val="00BF51B6"/>
    <w:rsid w:val="00C00791"/>
    <w:rsid w:val="00C07A2F"/>
    <w:rsid w:val="00C11E9C"/>
    <w:rsid w:val="00C15E6D"/>
    <w:rsid w:val="00C16F2E"/>
    <w:rsid w:val="00C17958"/>
    <w:rsid w:val="00C21F46"/>
    <w:rsid w:val="00C36BC1"/>
    <w:rsid w:val="00C4228F"/>
    <w:rsid w:val="00C43534"/>
    <w:rsid w:val="00C47992"/>
    <w:rsid w:val="00C60BF2"/>
    <w:rsid w:val="00C7354E"/>
    <w:rsid w:val="00C75493"/>
    <w:rsid w:val="00C809AA"/>
    <w:rsid w:val="00C816A4"/>
    <w:rsid w:val="00C85AC1"/>
    <w:rsid w:val="00C900BB"/>
    <w:rsid w:val="00C91D45"/>
    <w:rsid w:val="00CA0C52"/>
    <w:rsid w:val="00CA5E8E"/>
    <w:rsid w:val="00CB0364"/>
    <w:rsid w:val="00CB3AD8"/>
    <w:rsid w:val="00CB3C08"/>
    <w:rsid w:val="00CC53D3"/>
    <w:rsid w:val="00CD0711"/>
    <w:rsid w:val="00CD223C"/>
    <w:rsid w:val="00CD391D"/>
    <w:rsid w:val="00CD6235"/>
    <w:rsid w:val="00CE1212"/>
    <w:rsid w:val="00CE2C2E"/>
    <w:rsid w:val="00CE4808"/>
    <w:rsid w:val="00CE5FEF"/>
    <w:rsid w:val="00D051B2"/>
    <w:rsid w:val="00D133C2"/>
    <w:rsid w:val="00D22324"/>
    <w:rsid w:val="00D313F8"/>
    <w:rsid w:val="00D3695C"/>
    <w:rsid w:val="00D40B5D"/>
    <w:rsid w:val="00D41A47"/>
    <w:rsid w:val="00D4566D"/>
    <w:rsid w:val="00D54627"/>
    <w:rsid w:val="00D56045"/>
    <w:rsid w:val="00D637D0"/>
    <w:rsid w:val="00D6395A"/>
    <w:rsid w:val="00D76929"/>
    <w:rsid w:val="00D820EE"/>
    <w:rsid w:val="00D82565"/>
    <w:rsid w:val="00D90058"/>
    <w:rsid w:val="00D907DA"/>
    <w:rsid w:val="00D939EA"/>
    <w:rsid w:val="00D962B3"/>
    <w:rsid w:val="00DA1778"/>
    <w:rsid w:val="00DA1F80"/>
    <w:rsid w:val="00DA4565"/>
    <w:rsid w:val="00DB077B"/>
    <w:rsid w:val="00DB0A49"/>
    <w:rsid w:val="00DB1315"/>
    <w:rsid w:val="00DB23AA"/>
    <w:rsid w:val="00DB2EBC"/>
    <w:rsid w:val="00DB3033"/>
    <w:rsid w:val="00DB468D"/>
    <w:rsid w:val="00DB6252"/>
    <w:rsid w:val="00DD22B9"/>
    <w:rsid w:val="00DD2FEF"/>
    <w:rsid w:val="00DD390F"/>
    <w:rsid w:val="00DD4114"/>
    <w:rsid w:val="00DE4F90"/>
    <w:rsid w:val="00DE646C"/>
    <w:rsid w:val="00DF2C79"/>
    <w:rsid w:val="00E022B8"/>
    <w:rsid w:val="00E022EA"/>
    <w:rsid w:val="00E0298E"/>
    <w:rsid w:val="00E0531D"/>
    <w:rsid w:val="00E05A0D"/>
    <w:rsid w:val="00E10215"/>
    <w:rsid w:val="00E218D5"/>
    <w:rsid w:val="00E22EAD"/>
    <w:rsid w:val="00E271C6"/>
    <w:rsid w:val="00E33511"/>
    <w:rsid w:val="00E34C4B"/>
    <w:rsid w:val="00E44384"/>
    <w:rsid w:val="00E448ED"/>
    <w:rsid w:val="00E44B07"/>
    <w:rsid w:val="00E53D89"/>
    <w:rsid w:val="00E5435E"/>
    <w:rsid w:val="00E566ED"/>
    <w:rsid w:val="00E602D5"/>
    <w:rsid w:val="00E602F2"/>
    <w:rsid w:val="00E630FD"/>
    <w:rsid w:val="00E751C5"/>
    <w:rsid w:val="00E75C63"/>
    <w:rsid w:val="00E8314C"/>
    <w:rsid w:val="00E871D8"/>
    <w:rsid w:val="00E87212"/>
    <w:rsid w:val="00E87444"/>
    <w:rsid w:val="00E901C8"/>
    <w:rsid w:val="00E95529"/>
    <w:rsid w:val="00EA08E2"/>
    <w:rsid w:val="00EA43D2"/>
    <w:rsid w:val="00EA4A86"/>
    <w:rsid w:val="00EA7366"/>
    <w:rsid w:val="00EB10F3"/>
    <w:rsid w:val="00EB1D21"/>
    <w:rsid w:val="00EB26D4"/>
    <w:rsid w:val="00EB39EA"/>
    <w:rsid w:val="00EB4077"/>
    <w:rsid w:val="00EC1722"/>
    <w:rsid w:val="00EC1CB3"/>
    <w:rsid w:val="00EC6158"/>
    <w:rsid w:val="00EC6C05"/>
    <w:rsid w:val="00ED1BBD"/>
    <w:rsid w:val="00ED359D"/>
    <w:rsid w:val="00EE4ABE"/>
    <w:rsid w:val="00EE4E76"/>
    <w:rsid w:val="00EF4F28"/>
    <w:rsid w:val="00EF73DE"/>
    <w:rsid w:val="00EF7C37"/>
    <w:rsid w:val="00F06DD9"/>
    <w:rsid w:val="00F0779B"/>
    <w:rsid w:val="00F07D5B"/>
    <w:rsid w:val="00F11601"/>
    <w:rsid w:val="00F1184A"/>
    <w:rsid w:val="00F20C2B"/>
    <w:rsid w:val="00F20F8B"/>
    <w:rsid w:val="00F216B5"/>
    <w:rsid w:val="00F233BF"/>
    <w:rsid w:val="00F255A2"/>
    <w:rsid w:val="00F373DE"/>
    <w:rsid w:val="00F3758D"/>
    <w:rsid w:val="00F37BBE"/>
    <w:rsid w:val="00F44286"/>
    <w:rsid w:val="00F44BF8"/>
    <w:rsid w:val="00F53820"/>
    <w:rsid w:val="00F55E8F"/>
    <w:rsid w:val="00F56816"/>
    <w:rsid w:val="00F62959"/>
    <w:rsid w:val="00F64E15"/>
    <w:rsid w:val="00F77987"/>
    <w:rsid w:val="00F77E30"/>
    <w:rsid w:val="00F940E8"/>
    <w:rsid w:val="00F94F79"/>
    <w:rsid w:val="00F97223"/>
    <w:rsid w:val="00FA2CA1"/>
    <w:rsid w:val="00FB2684"/>
    <w:rsid w:val="00FB28DC"/>
    <w:rsid w:val="00FB421C"/>
    <w:rsid w:val="00FB61BE"/>
    <w:rsid w:val="00FB66C3"/>
    <w:rsid w:val="00FB7A05"/>
    <w:rsid w:val="00FC0B7F"/>
    <w:rsid w:val="00FC1B8F"/>
    <w:rsid w:val="00FC52C1"/>
    <w:rsid w:val="00FD00D6"/>
    <w:rsid w:val="00FD7300"/>
    <w:rsid w:val="00FE08B7"/>
    <w:rsid w:val="00FE183B"/>
    <w:rsid w:val="00FF205A"/>
    <w:rsid w:val="00FF340B"/>
    <w:rsid w:val="00FF3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E70FB"/>
  <w15:chartTrackingRefBased/>
  <w15:docId w15:val="{E86C13BF-C38A-4661-87F7-57A5E684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F4A"/>
  </w:style>
  <w:style w:type="paragraph" w:styleId="Footer">
    <w:name w:val="footer"/>
    <w:basedOn w:val="Normal"/>
    <w:link w:val="FooterChar"/>
    <w:uiPriority w:val="99"/>
    <w:unhideWhenUsed/>
    <w:rsid w:val="009E6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F4A"/>
  </w:style>
  <w:style w:type="character" w:styleId="Hyperlink">
    <w:name w:val="Hyperlink"/>
    <w:basedOn w:val="DefaultParagraphFont"/>
    <w:uiPriority w:val="99"/>
    <w:unhideWhenUsed/>
    <w:rsid w:val="009E6F4A"/>
    <w:rPr>
      <w:color w:val="0563C1" w:themeColor="hyperlink"/>
      <w:u w:val="single"/>
    </w:rPr>
  </w:style>
  <w:style w:type="character" w:styleId="UnresolvedMention">
    <w:name w:val="Unresolved Mention"/>
    <w:basedOn w:val="DefaultParagraphFont"/>
    <w:uiPriority w:val="99"/>
    <w:semiHidden/>
    <w:unhideWhenUsed/>
    <w:rsid w:val="009E6F4A"/>
    <w:rPr>
      <w:color w:val="605E5C"/>
      <w:shd w:val="clear" w:color="auto" w:fill="E1DFDD"/>
    </w:rPr>
  </w:style>
  <w:style w:type="table" w:customStyle="1" w:styleId="TableGrid1">
    <w:name w:val="Table Grid1"/>
    <w:basedOn w:val="TableNormal"/>
    <w:next w:val="TableGrid"/>
    <w:uiPriority w:val="39"/>
    <w:rsid w:val="009E6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6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32D2"/>
    <w:pPr>
      <w:ind w:left="720"/>
      <w:contextualSpacing/>
    </w:pPr>
  </w:style>
  <w:style w:type="character" w:customStyle="1" w:styleId="s1">
    <w:name w:val="s1"/>
    <w:basedOn w:val="DefaultParagraphFont"/>
    <w:rsid w:val="003634BA"/>
  </w:style>
  <w:style w:type="paragraph" w:customStyle="1" w:styleId="p2">
    <w:name w:val="p2"/>
    <w:basedOn w:val="Normal"/>
    <w:rsid w:val="003634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3634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3634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933">
      <w:bodyDiv w:val="1"/>
      <w:marLeft w:val="0"/>
      <w:marRight w:val="0"/>
      <w:marTop w:val="0"/>
      <w:marBottom w:val="0"/>
      <w:divBdr>
        <w:top w:val="none" w:sz="0" w:space="0" w:color="auto"/>
        <w:left w:val="none" w:sz="0" w:space="0" w:color="auto"/>
        <w:bottom w:val="none" w:sz="0" w:space="0" w:color="auto"/>
        <w:right w:val="none" w:sz="0" w:space="0" w:color="auto"/>
      </w:divBdr>
    </w:div>
    <w:div w:id="18929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ce.roberts@cprelondon.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ondonplan@lond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781FA2CD3984FAF278AA292B530DE" ma:contentTypeVersion="20" ma:contentTypeDescription="Create a new document." ma:contentTypeScope="" ma:versionID="f93c3f8f52ebe0a4af6194957dd39cfb">
  <xsd:schema xmlns:xsd="http://www.w3.org/2001/XMLSchema" xmlns:xs="http://www.w3.org/2001/XMLSchema" xmlns:p="http://schemas.microsoft.com/office/2006/metadata/properties" xmlns:ns2="f149b31c-8868-408d-909a-13cc18571e70" xmlns:ns3="ba6c2214-93f0-4d64-bdce-74e9c069a8de" targetNamespace="http://schemas.microsoft.com/office/2006/metadata/properties" ma:root="true" ma:fieldsID="61a81a1a8b5c93c3bdf164a9cce20626" ns2:_="" ns3:_="">
    <xsd:import namespace="f149b31c-8868-408d-909a-13cc18571e70"/>
    <xsd:import namespace="ba6c2214-93f0-4d64-bdce-74e9c069a8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eoplewithac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9b31c-8868-408d-909a-13cc1857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b4b466-d5a5-4df0-8f75-0639c8e329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eoplewithaccess" ma:index="27" nillable="true" ma:displayName="People with access" ma:description="Access for policy amendments" ma:format="Dropdown" ma:list="UserInfo" ma:SharePointGroup="0" ma:internalName="Peoplewithacc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6c2214-93f0-4d64-bdce-74e9c069a8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5aa506-1c2d-4cb0-87e3-a56b5110ed09}" ma:internalName="TaxCatchAll" ma:showField="CatchAllData" ma:web="ba6c2214-93f0-4d64-bdce-74e9c069a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49b31c-8868-408d-909a-13cc18571e70">
      <Terms xmlns="http://schemas.microsoft.com/office/infopath/2007/PartnerControls"/>
    </lcf76f155ced4ddcb4097134ff3c332f>
    <TaxCatchAll xmlns="ba6c2214-93f0-4d64-bdce-74e9c069a8de" xsi:nil="true"/>
    <Peoplewithaccess xmlns="f149b31c-8868-408d-909a-13cc18571e70">
      <UserInfo>
        <DisplayName/>
        <AccountId xsi:nil="true"/>
        <AccountType/>
      </UserInfo>
    </Peoplewithaccess>
  </documentManagement>
</p:properties>
</file>

<file path=customXml/itemProps1.xml><?xml version="1.0" encoding="utf-8"?>
<ds:datastoreItem xmlns:ds="http://schemas.openxmlformats.org/officeDocument/2006/customXml" ds:itemID="{6BE24E62-93CD-4AA5-9334-63489C65A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9b31c-8868-408d-909a-13cc18571e70"/>
    <ds:schemaRef ds:uri="ba6c2214-93f0-4d64-bdce-74e9c069a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F2A29-7561-4A5E-9821-2180E2816C09}">
  <ds:schemaRefs>
    <ds:schemaRef ds:uri="http://schemas.microsoft.com/sharepoint/v3/contenttype/forms"/>
  </ds:schemaRefs>
</ds:datastoreItem>
</file>

<file path=customXml/itemProps3.xml><?xml version="1.0" encoding="utf-8"?>
<ds:datastoreItem xmlns:ds="http://schemas.openxmlformats.org/officeDocument/2006/customXml" ds:itemID="{7C206F13-6AA7-4A0A-ADFB-2994AC5204E1}">
  <ds:schemaRefs>
    <ds:schemaRef ds:uri="http://schemas.microsoft.com/office/2006/metadata/properties"/>
    <ds:schemaRef ds:uri="http://schemas.microsoft.com/office/infopath/2007/PartnerControls"/>
    <ds:schemaRef ds:uri="f149b31c-8868-408d-909a-13cc18571e70"/>
    <ds:schemaRef ds:uri="ba6c2214-93f0-4d64-bdce-74e9c069a8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Roberts</dc:creator>
  <cp:keywords/>
  <dc:description/>
  <cp:lastModifiedBy>Michael Edwards</cp:lastModifiedBy>
  <cp:revision>2</cp:revision>
  <cp:lastPrinted>2026-01-08T13:57:00Z</cp:lastPrinted>
  <dcterms:created xsi:type="dcterms:W3CDTF">2026-02-17T18:16:00Z</dcterms:created>
  <dcterms:modified xsi:type="dcterms:W3CDTF">2026-02-17T18:16:00Z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0x010100DA3781FA2CD3984FAF278AA292B530DE</vt:lpwstr>
  </property>
  <property fmtid="{D5CDD505-2E9C-101B-9397-08002B2CF9AE}" pid="3" name="MediaServiceImageTags">
    <vt:lpwstr/>
  </property>
</Properties>
</file>