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E9E2" w14:textId="77777777" w:rsidR="0082770A" w:rsidRDefault="0082770A" w:rsidP="0082770A">
      <w:pPr>
        <w:spacing w:before="480" w:after="240" w:line="480" w:lineRule="atLeast"/>
        <w:outlineLvl w:val="1"/>
        <w:rPr>
          <w:rFonts w:ascii="Segoe UI" w:eastAsia="Times New Roman" w:hAnsi="Segoe UI" w:cs="Segoe UI"/>
          <w:b/>
          <w:bCs/>
          <w:color w:val="0F1115"/>
          <w:kern w:val="0"/>
          <w:sz w:val="33"/>
          <w:szCs w:val="33"/>
          <w:lang w:eastAsia="en-GB"/>
          <w14:ligatures w14:val="none"/>
        </w:rPr>
      </w:pPr>
      <w:r w:rsidRPr="0082770A">
        <w:rPr>
          <w:rFonts w:ascii="Segoe UI" w:eastAsia="Times New Roman" w:hAnsi="Segoe UI" w:cs="Segoe UI"/>
          <w:b/>
          <w:bCs/>
          <w:color w:val="0F1115"/>
          <w:kern w:val="0"/>
          <w:sz w:val="33"/>
          <w:szCs w:val="33"/>
          <w:lang w:eastAsia="en-GB"/>
          <w14:ligatures w14:val="none"/>
        </w:rPr>
        <w:t>Detailed Policy Comparison: Draft London Plan 2026 vs. Just Space Alternative Plan</w:t>
      </w:r>
    </w:p>
    <w:p w14:paraId="3187A489" w14:textId="39685696" w:rsidR="00F217FB" w:rsidRPr="0082770A" w:rsidRDefault="00F217FB" w:rsidP="00F217FB">
      <w:pPr>
        <w:spacing w:before="240" w:after="240" w:line="420" w:lineRule="atLeast"/>
        <w:rPr>
          <w:rFonts w:ascii="Segoe UI" w:eastAsia="Times New Roman" w:hAnsi="Segoe UI" w:cs="Segoe UI"/>
          <w:color w:val="0F1115"/>
          <w:kern w:val="0"/>
          <w:lang w:eastAsia="en-GB"/>
          <w14:ligatures w14:val="none"/>
        </w:rPr>
      </w:pPr>
      <w:r w:rsidRPr="0082770A">
        <w:rPr>
          <w:rFonts w:ascii="Segoe UI" w:eastAsia="Times New Roman" w:hAnsi="Segoe UI" w:cs="Segoe UI"/>
          <w:color w:val="0F1115"/>
          <w:kern w:val="0"/>
          <w:lang w:eastAsia="en-GB"/>
          <w14:ligatures w14:val="none"/>
        </w:rPr>
        <w:t>The </w:t>
      </w:r>
      <w:r w:rsidRPr="0082770A">
        <w:rPr>
          <w:rFonts w:ascii="Segoe UI" w:eastAsia="Times New Roman" w:hAnsi="Segoe UI" w:cs="Segoe UI"/>
          <w:b/>
          <w:bCs/>
          <w:color w:val="0F1115"/>
          <w:kern w:val="0"/>
          <w:lang w:eastAsia="en-GB"/>
          <w14:ligatures w14:val="none"/>
        </w:rPr>
        <w:t>Draft London Plan 2026</w:t>
      </w:r>
      <w:r w:rsidRPr="0082770A">
        <w:rPr>
          <w:rFonts w:ascii="Segoe UI" w:eastAsia="Times New Roman" w:hAnsi="Segoe UI" w:cs="Segoe UI"/>
          <w:color w:val="0F1115"/>
          <w:kern w:val="0"/>
          <w:lang w:eastAsia="en-GB"/>
          <w14:ligatures w14:val="none"/>
        </w:rPr>
        <w:t> is a </w:t>
      </w:r>
      <w:r w:rsidRPr="0082770A">
        <w:rPr>
          <w:rFonts w:ascii="Segoe UI" w:eastAsia="Times New Roman" w:hAnsi="Segoe UI" w:cs="Segoe UI"/>
          <w:b/>
          <w:bCs/>
          <w:color w:val="0F1115"/>
          <w:kern w:val="0"/>
          <w:lang w:eastAsia="en-GB"/>
          <w14:ligatures w14:val="none"/>
        </w:rPr>
        <w:t>developer-led, growth-oriented strategy</w:t>
      </w:r>
      <w:r w:rsidRPr="0082770A">
        <w:rPr>
          <w:rFonts w:ascii="Segoe UI" w:eastAsia="Times New Roman" w:hAnsi="Segoe UI" w:cs="Segoe UI"/>
          <w:color w:val="0F1115"/>
          <w:kern w:val="0"/>
          <w:lang w:eastAsia="en-GB"/>
          <w14:ligatures w14:val="none"/>
        </w:rPr>
        <w:t xml:space="preserve"> that seeks to boost housing supply through market mechanisms, including </w:t>
      </w:r>
      <w:r w:rsidR="006F155D">
        <w:rPr>
          <w:rFonts w:ascii="Segoe UI" w:eastAsia="Times New Roman" w:hAnsi="Segoe UI" w:cs="Segoe UI"/>
          <w:color w:val="0F1115"/>
          <w:kern w:val="0"/>
          <w:lang w:eastAsia="en-GB"/>
          <w14:ligatures w14:val="none"/>
        </w:rPr>
        <w:t xml:space="preserve">selected </w:t>
      </w:r>
      <w:r w:rsidRPr="0082770A">
        <w:rPr>
          <w:rFonts w:ascii="Segoe UI" w:eastAsia="Times New Roman" w:hAnsi="Segoe UI" w:cs="Segoe UI"/>
          <w:color w:val="0F1115"/>
          <w:kern w:val="0"/>
          <w:lang w:eastAsia="en-GB"/>
          <w14:ligatures w14:val="none"/>
        </w:rPr>
        <w:t>Green Belt</w:t>
      </w:r>
      <w:r w:rsidR="006F155D">
        <w:rPr>
          <w:rFonts w:ascii="Segoe UI" w:eastAsia="Times New Roman" w:hAnsi="Segoe UI" w:cs="Segoe UI"/>
          <w:color w:val="0F1115"/>
          <w:kern w:val="0"/>
          <w:lang w:eastAsia="en-GB"/>
          <w14:ligatures w14:val="none"/>
        </w:rPr>
        <w:t xml:space="preserve"> release</w:t>
      </w:r>
      <w:r w:rsidRPr="0082770A">
        <w:rPr>
          <w:rFonts w:ascii="Segoe UI" w:eastAsia="Times New Roman" w:hAnsi="Segoe UI" w:cs="Segoe UI"/>
          <w:color w:val="0F1115"/>
          <w:kern w:val="0"/>
          <w:lang w:eastAsia="en-GB"/>
          <w14:ligatures w14:val="none"/>
        </w:rPr>
        <w:t xml:space="preserve">, increasing densities, and promoting tall buildings. It aims to balance economic growth with social and environmental objectives, but its reliance on </w:t>
      </w:r>
      <w:r w:rsidR="007742E5">
        <w:rPr>
          <w:rFonts w:ascii="Segoe UI" w:eastAsia="Times New Roman" w:hAnsi="Segoe UI" w:cs="Segoe UI"/>
          <w:color w:val="0F1115"/>
          <w:kern w:val="0"/>
          <w:lang w:eastAsia="en-GB"/>
          <w14:ligatures w14:val="none"/>
        </w:rPr>
        <w:t xml:space="preserve">continuing </w:t>
      </w:r>
      <w:r w:rsidRPr="0082770A">
        <w:rPr>
          <w:rFonts w:ascii="Segoe UI" w:eastAsia="Times New Roman" w:hAnsi="Segoe UI" w:cs="Segoe UI"/>
          <w:color w:val="0F1115"/>
          <w:kern w:val="0"/>
          <w:lang w:eastAsia="en-GB"/>
          <w14:ligatures w14:val="none"/>
        </w:rPr>
        <w:t>the speculative housing model and viability testing means it fail</w:t>
      </w:r>
      <w:r>
        <w:rPr>
          <w:rFonts w:ascii="Segoe UI" w:eastAsia="Times New Roman" w:hAnsi="Segoe UI" w:cs="Segoe UI"/>
          <w:color w:val="0F1115"/>
          <w:kern w:val="0"/>
          <w:lang w:eastAsia="en-GB"/>
          <w14:ligatures w14:val="none"/>
        </w:rPr>
        <w:t>s</w:t>
      </w:r>
      <w:r w:rsidRPr="0082770A">
        <w:rPr>
          <w:rFonts w:ascii="Segoe UI" w:eastAsia="Times New Roman" w:hAnsi="Segoe UI" w:cs="Segoe UI"/>
          <w:color w:val="0F1115"/>
          <w:kern w:val="0"/>
          <w:lang w:eastAsia="en-GB"/>
          <w14:ligatures w14:val="none"/>
        </w:rPr>
        <w:t xml:space="preserve"> to deliver the genuinely affordable homes Londoners need.</w:t>
      </w:r>
    </w:p>
    <w:p w14:paraId="3BBFF0D0" w14:textId="77777777" w:rsidR="00F217FB" w:rsidRPr="0082770A" w:rsidRDefault="00F217FB" w:rsidP="00F217FB">
      <w:pPr>
        <w:spacing w:before="240" w:after="240" w:line="420" w:lineRule="atLeast"/>
        <w:rPr>
          <w:rFonts w:ascii="Segoe UI" w:eastAsia="Times New Roman" w:hAnsi="Segoe UI" w:cs="Segoe UI"/>
          <w:color w:val="0F1115"/>
          <w:kern w:val="0"/>
          <w:lang w:eastAsia="en-GB"/>
          <w14:ligatures w14:val="none"/>
        </w:rPr>
      </w:pPr>
      <w:r w:rsidRPr="0082770A">
        <w:rPr>
          <w:rFonts w:ascii="Segoe UI" w:eastAsia="Times New Roman" w:hAnsi="Segoe UI" w:cs="Segoe UI"/>
          <w:color w:val="0F1115"/>
          <w:kern w:val="0"/>
          <w:lang w:eastAsia="en-GB"/>
          <w14:ligatures w14:val="none"/>
        </w:rPr>
        <w:t>The </w:t>
      </w:r>
      <w:r w:rsidRPr="0082770A">
        <w:rPr>
          <w:rFonts w:ascii="Segoe UI" w:eastAsia="Times New Roman" w:hAnsi="Segoe UI" w:cs="Segoe UI"/>
          <w:b/>
          <w:bCs/>
          <w:color w:val="0F1115"/>
          <w:kern w:val="0"/>
          <w:lang w:eastAsia="en-GB"/>
          <w14:ligatures w14:val="none"/>
        </w:rPr>
        <w:t>Just Space Alternative Plan for a Caring City</w:t>
      </w:r>
      <w:r w:rsidRPr="0082770A">
        <w:rPr>
          <w:rFonts w:ascii="Segoe UI" w:eastAsia="Times New Roman" w:hAnsi="Segoe UI" w:cs="Segoe UI"/>
          <w:color w:val="0F1115"/>
          <w:kern w:val="0"/>
          <w:lang w:eastAsia="en-GB"/>
          <w14:ligatures w14:val="none"/>
        </w:rPr>
        <w:t> is a </w:t>
      </w:r>
      <w:r w:rsidRPr="0082770A">
        <w:rPr>
          <w:rFonts w:ascii="Segoe UI" w:eastAsia="Times New Roman" w:hAnsi="Segoe UI" w:cs="Segoe UI"/>
          <w:b/>
          <w:bCs/>
          <w:color w:val="0F1115"/>
          <w:kern w:val="0"/>
          <w:lang w:eastAsia="en-GB"/>
          <w14:ligatures w14:val="none"/>
        </w:rPr>
        <w:t>community-led, wellbeing-oriented vision</w:t>
      </w:r>
      <w:r w:rsidRPr="0082770A">
        <w:rPr>
          <w:rFonts w:ascii="Segoe UI" w:eastAsia="Times New Roman" w:hAnsi="Segoe UI" w:cs="Segoe UI"/>
          <w:color w:val="0F1115"/>
          <w:kern w:val="0"/>
          <w:lang w:eastAsia="en-GB"/>
          <w14:ligatures w14:val="none"/>
        </w:rPr>
        <w:t> that prioritises genuine affordability, social justice, community power, and environmental sustainability. It argues for a fundamental shift away from the financialization of housing and land, advocating for a non-speculative, public sector-led, and community-controlled approach to planning.</w:t>
      </w:r>
    </w:p>
    <w:p w14:paraId="4D863B9F" w14:textId="77777777" w:rsidR="00F217FB" w:rsidRPr="0082770A" w:rsidRDefault="00F217FB" w:rsidP="00F217FB">
      <w:pPr>
        <w:spacing w:before="240" w:after="0" w:line="420" w:lineRule="atLeast"/>
        <w:rPr>
          <w:rFonts w:ascii="Segoe UI" w:eastAsia="Times New Roman" w:hAnsi="Segoe UI" w:cs="Segoe UI"/>
          <w:color w:val="0F1115"/>
          <w:kern w:val="0"/>
          <w:lang w:eastAsia="en-GB"/>
          <w14:ligatures w14:val="none"/>
        </w:rPr>
      </w:pPr>
      <w:r w:rsidRPr="0082770A">
        <w:rPr>
          <w:rFonts w:ascii="Segoe UI" w:eastAsia="Times New Roman" w:hAnsi="Segoe UI" w:cs="Segoe UI"/>
          <w:color w:val="0F1115"/>
          <w:kern w:val="0"/>
          <w:lang w:eastAsia="en-GB"/>
          <w14:ligatures w14:val="none"/>
        </w:rPr>
        <w:t>The fundamental difference is between a plan that serves </w:t>
      </w:r>
      <w:r w:rsidRPr="0082770A">
        <w:rPr>
          <w:rFonts w:ascii="Segoe UI" w:eastAsia="Times New Roman" w:hAnsi="Segoe UI" w:cs="Segoe UI"/>
          <w:b/>
          <w:bCs/>
          <w:color w:val="0F1115"/>
          <w:kern w:val="0"/>
          <w:lang w:eastAsia="en-GB"/>
          <w14:ligatures w14:val="none"/>
        </w:rPr>
        <w:t>growth and investment</w:t>
      </w:r>
      <w:r w:rsidRPr="0082770A">
        <w:rPr>
          <w:rFonts w:ascii="Segoe UI" w:eastAsia="Times New Roman" w:hAnsi="Segoe UI" w:cs="Segoe UI"/>
          <w:color w:val="0F1115"/>
          <w:kern w:val="0"/>
          <w:lang w:eastAsia="en-GB"/>
          <w14:ligatures w14:val="none"/>
        </w:rPr>
        <w:t> and one that serves </w:t>
      </w:r>
      <w:r w:rsidRPr="0082770A">
        <w:rPr>
          <w:rFonts w:ascii="Segoe UI" w:eastAsia="Times New Roman" w:hAnsi="Segoe UI" w:cs="Segoe UI"/>
          <w:b/>
          <w:bCs/>
          <w:color w:val="0F1115"/>
          <w:kern w:val="0"/>
          <w:lang w:eastAsia="en-GB"/>
          <w14:ligatures w14:val="none"/>
        </w:rPr>
        <w:t>people and communities</w:t>
      </w:r>
      <w:r w:rsidRPr="0082770A">
        <w:rPr>
          <w:rFonts w:ascii="Segoe UI" w:eastAsia="Times New Roman" w:hAnsi="Segoe UI" w:cs="Segoe UI"/>
          <w:color w:val="0F1115"/>
          <w:kern w:val="0"/>
          <w:lang w:eastAsia="en-GB"/>
          <w14:ligatures w14:val="none"/>
        </w:rPr>
        <w:t>.</w:t>
      </w:r>
    </w:p>
    <w:p w14:paraId="78CE6EC5" w14:textId="77777777"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1. Overarching Philosophy &amp; Objectives</w:t>
      </w:r>
    </w:p>
    <w:tbl>
      <w:tblPr>
        <w:tblW w:w="5000" w:type="pct"/>
        <w:tblCellMar>
          <w:left w:w="0" w:type="dxa"/>
          <w:right w:w="0" w:type="dxa"/>
        </w:tblCellMar>
        <w:tblLook w:val="04A0" w:firstRow="1" w:lastRow="0" w:firstColumn="1" w:lastColumn="0" w:noHBand="0" w:noVBand="1"/>
      </w:tblPr>
      <w:tblGrid>
        <w:gridCol w:w="4405"/>
        <w:gridCol w:w="4621"/>
      </w:tblGrid>
      <w:tr w:rsidR="000571BD" w14:paraId="491983A7" w14:textId="77777777">
        <w:trPr>
          <w:tblHeader/>
        </w:trPr>
        <w:tc>
          <w:tcPr>
            <w:tcW w:w="0" w:type="auto"/>
            <w:tcMar>
              <w:top w:w="150" w:type="dxa"/>
              <w:left w:w="0" w:type="dxa"/>
              <w:bottom w:w="150" w:type="dxa"/>
              <w:right w:w="240" w:type="dxa"/>
            </w:tcMar>
            <w:vAlign w:val="center"/>
            <w:hideMark/>
          </w:tcPr>
          <w:p w14:paraId="7E071730" w14:textId="77777777" w:rsidR="000571BD" w:rsidRDefault="000571BD">
            <w:pPr>
              <w:spacing w:after="0" w:line="375" w:lineRule="atLeast"/>
              <w:rPr>
                <w:lang w:eastAsia="en-GB"/>
              </w:rPr>
            </w:pPr>
            <w:r>
              <w:rPr>
                <w:rFonts w:ascii="Segoe UI" w:hAnsi="Segoe UI" w:cs="Segoe UI"/>
                <w:b/>
                <w:bCs/>
                <w:sz w:val="23"/>
                <w:szCs w:val="23"/>
              </w:rPr>
              <w:t>Draft London Plan (Mayor)</w:t>
            </w:r>
          </w:p>
        </w:tc>
        <w:tc>
          <w:tcPr>
            <w:tcW w:w="0" w:type="auto"/>
            <w:tcMar>
              <w:top w:w="150" w:type="dxa"/>
              <w:left w:w="240" w:type="dxa"/>
              <w:bottom w:w="150" w:type="dxa"/>
              <w:right w:w="240" w:type="dxa"/>
            </w:tcMar>
            <w:vAlign w:val="center"/>
            <w:hideMark/>
          </w:tcPr>
          <w:p w14:paraId="71118B4A" w14:textId="77777777" w:rsidR="000571BD" w:rsidRDefault="000571BD">
            <w:pPr>
              <w:spacing w:after="0" w:line="375" w:lineRule="atLeast"/>
            </w:pPr>
            <w:r>
              <w:rPr>
                <w:rFonts w:ascii="Segoe UI" w:hAnsi="Segoe UI" w:cs="Segoe UI"/>
                <w:b/>
                <w:bCs/>
                <w:sz w:val="23"/>
                <w:szCs w:val="23"/>
              </w:rPr>
              <w:t>Just Space Alternative Plan</w:t>
            </w:r>
          </w:p>
        </w:tc>
      </w:tr>
      <w:tr w:rsidR="000571BD" w14:paraId="4001B20A" w14:textId="77777777">
        <w:tc>
          <w:tcPr>
            <w:tcW w:w="0" w:type="auto"/>
            <w:tcMar>
              <w:top w:w="150" w:type="dxa"/>
              <w:left w:w="0" w:type="dxa"/>
              <w:bottom w:w="150" w:type="dxa"/>
              <w:right w:w="240" w:type="dxa"/>
            </w:tcMar>
            <w:vAlign w:val="center"/>
            <w:hideMark/>
          </w:tcPr>
          <w:p w14:paraId="72DC7B8D" w14:textId="4C8E81CE" w:rsidR="000571BD" w:rsidRDefault="000571BD">
            <w:pPr>
              <w:spacing w:after="0" w:line="375" w:lineRule="atLeast"/>
            </w:pPr>
            <w:r>
              <w:rPr>
                <w:rFonts w:ascii="Segoe UI" w:hAnsi="Segoe UI" w:cs="Segoe UI"/>
                <w:b/>
                <w:bCs/>
                <w:sz w:val="23"/>
                <w:szCs w:val="23"/>
              </w:rPr>
              <w:t>"Good Growth"</w:t>
            </w:r>
            <w:r>
              <w:rPr>
                <w:rFonts w:ascii="Segoe UI" w:hAnsi="Segoe UI" w:cs="Segoe UI"/>
                <w:sz w:val="23"/>
                <w:szCs w:val="23"/>
              </w:rPr>
              <w:t xml:space="preserve"> – growth that drives economic productivity, is socially inclusive and environmentally </w:t>
            </w:r>
            <w:r w:rsidR="009B51EC">
              <w:rPr>
                <w:rFonts w:ascii="Segoe UI" w:hAnsi="Segoe UI" w:cs="Segoe UI"/>
                <w:sz w:val="23"/>
                <w:szCs w:val="23"/>
              </w:rPr>
              <w:t>sustainable as</w:t>
            </w:r>
            <w:r w:rsidR="00E57815">
              <w:rPr>
                <w:rFonts w:ascii="Segoe UI" w:hAnsi="Segoe UI" w:cs="Segoe UI"/>
                <w:sz w:val="23"/>
                <w:szCs w:val="23"/>
              </w:rPr>
              <w:t xml:space="preserve"> objectives an</w:t>
            </w:r>
            <w:r w:rsidR="00C24C1F">
              <w:rPr>
                <w:rFonts w:ascii="Segoe UI" w:hAnsi="Segoe UI" w:cs="Segoe UI"/>
                <w:sz w:val="23"/>
                <w:szCs w:val="23"/>
              </w:rPr>
              <w:t>d not as policy</w:t>
            </w:r>
            <w:r w:rsidR="009B51EC">
              <w:rPr>
                <w:rFonts w:ascii="Segoe UI" w:hAnsi="Segoe UI" w:cs="Segoe UI"/>
                <w:sz w:val="23"/>
                <w:szCs w:val="23"/>
              </w:rPr>
              <w:t xml:space="preserve"> </w:t>
            </w:r>
            <w:r>
              <w:rPr>
                <w:rFonts w:ascii="Segoe UI" w:hAnsi="Segoe UI" w:cs="Segoe UI"/>
                <w:sz w:val="23"/>
                <w:szCs w:val="23"/>
              </w:rPr>
              <w:t xml:space="preserve">(Table 1.1). </w:t>
            </w:r>
          </w:p>
        </w:tc>
        <w:tc>
          <w:tcPr>
            <w:tcW w:w="0" w:type="auto"/>
            <w:tcMar>
              <w:top w:w="150" w:type="dxa"/>
              <w:left w:w="240" w:type="dxa"/>
              <w:bottom w:w="150" w:type="dxa"/>
              <w:right w:w="0" w:type="dxa"/>
            </w:tcMar>
            <w:vAlign w:val="center"/>
            <w:hideMark/>
          </w:tcPr>
          <w:p w14:paraId="0F7CC0EB" w14:textId="0E02C4AA" w:rsidR="000571BD" w:rsidRDefault="000571BD">
            <w:pPr>
              <w:spacing w:after="0" w:line="375" w:lineRule="atLeast"/>
            </w:pPr>
            <w:r>
              <w:rPr>
                <w:rFonts w:ascii="Segoe UI" w:hAnsi="Segoe UI" w:cs="Segoe UI"/>
                <w:b/>
                <w:bCs/>
                <w:sz w:val="23"/>
                <w:szCs w:val="23"/>
              </w:rPr>
              <w:t>"A Caring City"</w:t>
            </w:r>
            <w:r>
              <w:rPr>
                <w:rFonts w:ascii="Segoe UI" w:hAnsi="Segoe UI" w:cs="Segoe UI"/>
                <w:sz w:val="23"/>
                <w:szCs w:val="23"/>
              </w:rPr>
              <w:t xml:space="preserve"> – a fundamental shift in values, placing care for people, community, and planet at the heart of planning. Rejects the </w:t>
            </w:r>
            <w:r w:rsidR="008226D7">
              <w:rPr>
                <w:rFonts w:ascii="Segoe UI" w:hAnsi="Segoe UI" w:cs="Segoe UI"/>
                <w:sz w:val="23"/>
                <w:szCs w:val="23"/>
              </w:rPr>
              <w:t>negative</w:t>
            </w:r>
            <w:r w:rsidR="00854DAA">
              <w:rPr>
                <w:rFonts w:ascii="Segoe UI" w:hAnsi="Segoe UI" w:cs="Segoe UI"/>
                <w:sz w:val="23"/>
                <w:szCs w:val="23"/>
              </w:rPr>
              <w:t xml:space="preserve"> impacts</w:t>
            </w:r>
            <w:r>
              <w:rPr>
                <w:rFonts w:ascii="Segoe UI" w:hAnsi="Segoe UI" w:cs="Segoe UI"/>
                <w:sz w:val="23"/>
                <w:szCs w:val="23"/>
              </w:rPr>
              <w:t xml:space="preserve"> of growth-obsessed planning (</w:t>
            </w:r>
            <w:r w:rsidR="00A665CF">
              <w:rPr>
                <w:rFonts w:ascii="Segoe UI" w:hAnsi="Segoe UI" w:cs="Segoe UI"/>
                <w:sz w:val="23"/>
                <w:szCs w:val="23"/>
              </w:rPr>
              <w:t>Part 1</w:t>
            </w:r>
            <w:r>
              <w:rPr>
                <w:rFonts w:ascii="Segoe UI" w:hAnsi="Segoe UI" w:cs="Segoe UI"/>
                <w:sz w:val="23"/>
                <w:szCs w:val="23"/>
              </w:rPr>
              <w:t>).</w:t>
            </w:r>
          </w:p>
        </w:tc>
      </w:tr>
      <w:tr w:rsidR="000571BD" w14:paraId="1D282D4E" w14:textId="77777777">
        <w:tc>
          <w:tcPr>
            <w:tcW w:w="0" w:type="auto"/>
            <w:tcMar>
              <w:top w:w="150" w:type="dxa"/>
              <w:left w:w="0" w:type="dxa"/>
              <w:bottom w:w="150" w:type="dxa"/>
              <w:right w:w="240" w:type="dxa"/>
            </w:tcMar>
            <w:vAlign w:val="center"/>
            <w:hideMark/>
          </w:tcPr>
          <w:p w14:paraId="1C180C17" w14:textId="3D9906DD" w:rsidR="000571BD" w:rsidRDefault="000571BD">
            <w:pPr>
              <w:spacing w:after="0" w:line="375" w:lineRule="atLeast"/>
            </w:pPr>
            <w:r>
              <w:rPr>
                <w:rFonts w:ascii="Segoe UI" w:hAnsi="Segoe UI" w:cs="Segoe UI"/>
                <w:b/>
                <w:bCs/>
                <w:sz w:val="23"/>
                <w:szCs w:val="23"/>
              </w:rPr>
              <w:t>Economic Growth as a primary goal</w:t>
            </w:r>
            <w:r>
              <w:rPr>
                <w:rFonts w:ascii="Segoe UI" w:hAnsi="Segoe UI" w:cs="Segoe UI"/>
                <w:sz w:val="23"/>
                <w:szCs w:val="23"/>
              </w:rPr>
              <w:t> – the plan explicitly states it aims to deliver sustainable economic growth that benefits Londoners and supports the London Growth Plan (Foreword).</w:t>
            </w:r>
          </w:p>
        </w:tc>
        <w:tc>
          <w:tcPr>
            <w:tcW w:w="0" w:type="auto"/>
            <w:tcMar>
              <w:top w:w="150" w:type="dxa"/>
              <w:left w:w="240" w:type="dxa"/>
              <w:bottom w:w="150" w:type="dxa"/>
              <w:right w:w="0" w:type="dxa"/>
            </w:tcMar>
            <w:vAlign w:val="center"/>
            <w:hideMark/>
          </w:tcPr>
          <w:p w14:paraId="61949BC1" w14:textId="372F0E22" w:rsidR="000571BD" w:rsidRDefault="000571BD">
            <w:pPr>
              <w:spacing w:after="0" w:line="375" w:lineRule="atLeast"/>
            </w:pPr>
            <w:r>
              <w:rPr>
                <w:rFonts w:ascii="Segoe UI" w:hAnsi="Segoe UI" w:cs="Segoe UI"/>
                <w:b/>
                <w:bCs/>
                <w:sz w:val="23"/>
                <w:szCs w:val="23"/>
              </w:rPr>
              <w:t>Challenges the growth myth</w:t>
            </w:r>
            <w:r>
              <w:rPr>
                <w:rFonts w:ascii="Segoe UI" w:hAnsi="Segoe UI" w:cs="Segoe UI"/>
                <w:sz w:val="23"/>
                <w:szCs w:val="23"/>
              </w:rPr>
              <w:t xml:space="preserve"> – argues that unprecedented growth and speculative development have driven up land values and prices, not delivered affordable homes. Calls for </w:t>
            </w:r>
            <w:r w:rsidR="00F92C7F">
              <w:rPr>
                <w:rFonts w:ascii="Segoe UI" w:hAnsi="Segoe UI" w:cs="Segoe UI"/>
                <w:sz w:val="23"/>
                <w:szCs w:val="23"/>
              </w:rPr>
              <w:t>sustainability;</w:t>
            </w:r>
            <w:r>
              <w:rPr>
                <w:rFonts w:ascii="Segoe UI" w:hAnsi="Segoe UI" w:cs="Segoe UI"/>
                <w:sz w:val="23"/>
                <w:szCs w:val="23"/>
              </w:rPr>
              <w:t xml:space="preserve"> </w:t>
            </w:r>
            <w:r>
              <w:rPr>
                <w:rFonts w:ascii="Segoe UI" w:hAnsi="Segoe UI" w:cs="Segoe UI"/>
                <w:sz w:val="23"/>
                <w:szCs w:val="23"/>
              </w:rPr>
              <w:lastRenderedPageBreak/>
              <w:t>and abandoning GDP as the key measure of success (</w:t>
            </w:r>
            <w:r w:rsidR="00DD59A9">
              <w:rPr>
                <w:rFonts w:ascii="Segoe UI" w:hAnsi="Segoe UI" w:cs="Segoe UI"/>
                <w:sz w:val="23"/>
                <w:szCs w:val="23"/>
              </w:rPr>
              <w:t>Part 1</w:t>
            </w:r>
            <w:r>
              <w:rPr>
                <w:rFonts w:ascii="Segoe UI" w:hAnsi="Segoe UI" w:cs="Segoe UI"/>
                <w:sz w:val="23"/>
                <w:szCs w:val="23"/>
              </w:rPr>
              <w:t>).</w:t>
            </w:r>
          </w:p>
        </w:tc>
      </w:tr>
      <w:tr w:rsidR="000571BD" w14:paraId="1D521644" w14:textId="77777777">
        <w:tc>
          <w:tcPr>
            <w:tcW w:w="0" w:type="auto"/>
            <w:tcMar>
              <w:top w:w="150" w:type="dxa"/>
              <w:left w:w="0" w:type="dxa"/>
              <w:bottom w:w="150" w:type="dxa"/>
              <w:right w:w="240" w:type="dxa"/>
            </w:tcMar>
            <w:vAlign w:val="center"/>
            <w:hideMark/>
          </w:tcPr>
          <w:p w14:paraId="295EDC49" w14:textId="328EDCF3" w:rsidR="000571BD" w:rsidRDefault="000571BD">
            <w:pPr>
              <w:spacing w:after="0" w:line="375" w:lineRule="atLeast"/>
            </w:pPr>
            <w:r>
              <w:rPr>
                <w:rFonts w:ascii="Segoe UI" w:hAnsi="Segoe UI" w:cs="Segoe UI"/>
                <w:b/>
                <w:bCs/>
                <w:sz w:val="23"/>
                <w:szCs w:val="23"/>
              </w:rPr>
              <w:lastRenderedPageBreak/>
              <w:t>Top-down, developer-led</w:t>
            </w:r>
            <w:r>
              <w:rPr>
                <w:rFonts w:ascii="Segoe UI" w:hAnsi="Segoe UI" w:cs="Segoe UI"/>
                <w:sz w:val="23"/>
                <w:szCs w:val="23"/>
              </w:rPr>
              <w:t xml:space="preserve"> – the plan is written by the Mayor and his team, focusing on creating conditions for private investment and market delivery. Community involvement is </w:t>
            </w:r>
            <w:r w:rsidR="00E44875">
              <w:rPr>
                <w:rFonts w:ascii="Segoe UI" w:hAnsi="Segoe UI" w:cs="Segoe UI"/>
                <w:sz w:val="23"/>
                <w:szCs w:val="23"/>
              </w:rPr>
              <w:t>l</w:t>
            </w:r>
            <w:r>
              <w:rPr>
                <w:rFonts w:ascii="Segoe UI" w:hAnsi="Segoe UI" w:cs="Segoe UI"/>
                <w:sz w:val="23"/>
                <w:szCs w:val="23"/>
              </w:rPr>
              <w:t>imited to consultation</w:t>
            </w:r>
            <w:r w:rsidR="00485BED">
              <w:rPr>
                <w:rFonts w:ascii="Segoe UI" w:hAnsi="Segoe UI" w:cs="Segoe UI"/>
                <w:sz w:val="23"/>
                <w:szCs w:val="23"/>
              </w:rPr>
              <w:t xml:space="preserve"> </w:t>
            </w:r>
            <w:r w:rsidR="00E44875">
              <w:rPr>
                <w:rFonts w:ascii="Segoe UI" w:hAnsi="Segoe UI" w:cs="Segoe UI"/>
                <w:sz w:val="23"/>
                <w:szCs w:val="23"/>
              </w:rPr>
              <w:t>on issues and a dr</w:t>
            </w:r>
            <w:r w:rsidR="00485BED">
              <w:rPr>
                <w:rFonts w:ascii="Segoe UI" w:hAnsi="Segoe UI" w:cs="Segoe UI"/>
                <w:sz w:val="23"/>
                <w:szCs w:val="23"/>
              </w:rPr>
              <w:t>a</w:t>
            </w:r>
            <w:r w:rsidR="00E44875">
              <w:rPr>
                <w:rFonts w:ascii="Segoe UI" w:hAnsi="Segoe UI" w:cs="Segoe UI"/>
                <w:sz w:val="23"/>
                <w:szCs w:val="23"/>
              </w:rPr>
              <w:t>ft plan</w:t>
            </w:r>
            <w:r w:rsidR="00485BED">
              <w:rPr>
                <w:rFonts w:ascii="Segoe UI" w:hAnsi="Segoe UI" w:cs="Segoe UI"/>
                <w:sz w:val="23"/>
                <w:szCs w:val="23"/>
              </w:rPr>
              <w:t>.</w:t>
            </w:r>
          </w:p>
        </w:tc>
        <w:tc>
          <w:tcPr>
            <w:tcW w:w="0" w:type="auto"/>
            <w:tcMar>
              <w:top w:w="150" w:type="dxa"/>
              <w:left w:w="240" w:type="dxa"/>
              <w:bottom w:w="150" w:type="dxa"/>
              <w:right w:w="0" w:type="dxa"/>
            </w:tcMar>
            <w:vAlign w:val="center"/>
            <w:hideMark/>
          </w:tcPr>
          <w:p w14:paraId="373592EB" w14:textId="77777777" w:rsidR="000571BD" w:rsidRDefault="000571BD">
            <w:pPr>
              <w:spacing w:after="0" w:line="375" w:lineRule="atLeast"/>
            </w:pPr>
            <w:r>
              <w:rPr>
                <w:rFonts w:ascii="Segoe UI" w:hAnsi="Segoe UI" w:cs="Segoe UI"/>
                <w:b/>
                <w:bCs/>
                <w:sz w:val="23"/>
                <w:szCs w:val="23"/>
              </w:rPr>
              <w:t>Bottom-up, community-led</w:t>
            </w:r>
            <w:r>
              <w:rPr>
                <w:rFonts w:ascii="Segoe UI" w:hAnsi="Segoe UI" w:cs="Segoe UI"/>
                <w:sz w:val="23"/>
                <w:szCs w:val="23"/>
              </w:rPr>
              <w:t> – the plan is written by a network of grassroots groups. It advocates for genuine co-production, community participation as a right, and community control over planning decisions (Policies 1, 4).</w:t>
            </w:r>
          </w:p>
        </w:tc>
      </w:tr>
    </w:tbl>
    <w:p w14:paraId="185D1B25" w14:textId="77777777" w:rsidR="0082770A" w:rsidRPr="0082770A" w:rsidRDefault="00000000" w:rsidP="0082770A">
      <w:pPr>
        <w:spacing w:before="480" w:after="480" w:line="420" w:lineRule="atLeast"/>
        <w:rPr>
          <w:rFonts w:ascii="Segoe UI" w:eastAsia="Times New Roman" w:hAnsi="Segoe UI" w:cs="Segoe UI"/>
          <w:color w:val="0F1115"/>
          <w:kern w:val="0"/>
          <w:lang w:eastAsia="en-GB"/>
          <w14:ligatures w14:val="none"/>
        </w:rPr>
      </w:pPr>
      <w:r>
        <w:rPr>
          <w:rFonts w:ascii="Segoe UI" w:eastAsia="Times New Roman" w:hAnsi="Segoe UI" w:cs="Segoe UI"/>
          <w:color w:val="0F1115"/>
          <w:kern w:val="0"/>
          <w:lang w:eastAsia="en-GB"/>
          <w14:ligatures w14:val="none"/>
        </w:rPr>
        <w:pict w14:anchorId="799D2956">
          <v:rect id="_x0000_i1025" style="width:0;height:.75pt" o:hralign="center" o:hrstd="t" o:hr="t" fillcolor="#a0a0a0" stroked="f"/>
        </w:pict>
      </w:r>
    </w:p>
    <w:p w14:paraId="46E71E67" w14:textId="4401F2DC"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 xml:space="preserve">2. Housing &amp; Affordability </w:t>
      </w:r>
    </w:p>
    <w:tbl>
      <w:tblPr>
        <w:tblW w:w="5000" w:type="pct"/>
        <w:tblCellMar>
          <w:left w:w="0" w:type="dxa"/>
          <w:right w:w="0" w:type="dxa"/>
        </w:tblCellMar>
        <w:tblLook w:val="04A0" w:firstRow="1" w:lastRow="0" w:firstColumn="1" w:lastColumn="0" w:noHBand="0" w:noVBand="1"/>
      </w:tblPr>
      <w:tblGrid>
        <w:gridCol w:w="4423"/>
        <w:gridCol w:w="4603"/>
      </w:tblGrid>
      <w:tr w:rsidR="00952F49" w14:paraId="06FB2C67" w14:textId="77777777">
        <w:trPr>
          <w:tblHeader/>
        </w:trPr>
        <w:tc>
          <w:tcPr>
            <w:tcW w:w="0" w:type="auto"/>
            <w:tcMar>
              <w:top w:w="150" w:type="dxa"/>
              <w:left w:w="0" w:type="dxa"/>
              <w:bottom w:w="150" w:type="dxa"/>
              <w:right w:w="240" w:type="dxa"/>
            </w:tcMar>
            <w:vAlign w:val="center"/>
            <w:hideMark/>
          </w:tcPr>
          <w:p w14:paraId="707B4D3D" w14:textId="77777777" w:rsidR="00952F49" w:rsidRDefault="00952F49">
            <w:pPr>
              <w:spacing w:after="0" w:line="375" w:lineRule="atLeast"/>
              <w:rPr>
                <w:lang w:eastAsia="en-GB"/>
              </w:rPr>
            </w:pPr>
            <w:r>
              <w:rPr>
                <w:rFonts w:ascii="Segoe UI" w:hAnsi="Segoe UI" w:cs="Segoe UI"/>
                <w:b/>
                <w:bCs/>
                <w:sz w:val="23"/>
                <w:szCs w:val="23"/>
              </w:rPr>
              <w:t>Draft London Plan (Mayor)</w:t>
            </w:r>
          </w:p>
        </w:tc>
        <w:tc>
          <w:tcPr>
            <w:tcW w:w="0" w:type="auto"/>
            <w:tcMar>
              <w:top w:w="150" w:type="dxa"/>
              <w:left w:w="240" w:type="dxa"/>
              <w:bottom w:w="150" w:type="dxa"/>
              <w:right w:w="240" w:type="dxa"/>
            </w:tcMar>
            <w:vAlign w:val="center"/>
            <w:hideMark/>
          </w:tcPr>
          <w:p w14:paraId="454F1C3D" w14:textId="77777777" w:rsidR="00952F49" w:rsidRDefault="00952F49">
            <w:pPr>
              <w:spacing w:after="0" w:line="375" w:lineRule="atLeast"/>
            </w:pPr>
            <w:r>
              <w:rPr>
                <w:rFonts w:ascii="Segoe UI" w:hAnsi="Segoe UI" w:cs="Segoe UI"/>
                <w:b/>
                <w:bCs/>
                <w:sz w:val="23"/>
                <w:szCs w:val="23"/>
              </w:rPr>
              <w:t>Just Space Alternative Plan</w:t>
            </w:r>
          </w:p>
        </w:tc>
      </w:tr>
      <w:tr w:rsidR="00952F49" w14:paraId="396F142A" w14:textId="77777777">
        <w:tc>
          <w:tcPr>
            <w:tcW w:w="0" w:type="auto"/>
            <w:tcMar>
              <w:top w:w="150" w:type="dxa"/>
              <w:left w:w="0" w:type="dxa"/>
              <w:bottom w:w="150" w:type="dxa"/>
              <w:right w:w="240" w:type="dxa"/>
            </w:tcMar>
            <w:vAlign w:val="center"/>
            <w:hideMark/>
          </w:tcPr>
          <w:p w14:paraId="6CE30F88" w14:textId="7ACEBEFB" w:rsidR="00952F49" w:rsidRDefault="00000000" w:rsidP="00D85212">
            <w:pPr>
              <w:spacing w:after="0" w:line="375" w:lineRule="atLeast"/>
            </w:pPr>
            <w:r>
              <w:rPr>
                <w:rFonts w:ascii="Segoe UI" w:hAnsi="Segoe UI" w:cs="Segoe UI"/>
                <w:b/>
                <w:bCs/>
                <w:sz w:val="23"/>
                <w:szCs w:val="23"/>
              </w:rPr>
              <w:t xml:space="preserve">Housing </w:t>
            </w:r>
            <w:r w:rsidR="00D85212">
              <w:rPr>
                <w:rFonts w:ascii="Segoe UI" w:hAnsi="Segoe UI" w:cs="Segoe UI"/>
                <w:b/>
                <w:bCs/>
                <w:sz w:val="23"/>
                <w:szCs w:val="23"/>
              </w:rPr>
              <w:t>target</w:t>
            </w:r>
            <w:r>
              <w:rPr>
                <w:rFonts w:ascii="Segoe UI" w:hAnsi="Segoe UI" w:cs="Segoe UI"/>
                <w:b/>
                <w:bCs/>
                <w:sz w:val="23"/>
                <w:szCs w:val="23"/>
              </w:rPr>
              <w:t>: 558,</w:t>
            </w:r>
            <w:r w:rsidR="00D85212">
              <w:rPr>
                <w:rFonts w:ascii="Segoe UI" w:hAnsi="Segoe UI" w:cs="Segoe UI"/>
                <w:b/>
                <w:bCs/>
                <w:sz w:val="23"/>
                <w:szCs w:val="23"/>
              </w:rPr>
              <w:t>451</w:t>
            </w:r>
            <w:r>
              <w:rPr>
                <w:rFonts w:ascii="Segoe UI" w:hAnsi="Segoe UI" w:cs="Segoe UI"/>
                <w:b/>
                <w:bCs/>
                <w:sz w:val="23"/>
                <w:szCs w:val="23"/>
              </w:rPr>
              <w:t xml:space="preserve"> homes over 10 years</w:t>
            </w:r>
            <w:r w:rsidR="00D85212">
              <w:rPr>
                <w:rFonts w:ascii="Segoe UI" w:hAnsi="Segoe UI" w:cs="Segoe UI"/>
                <w:sz w:val="23"/>
                <w:szCs w:val="23"/>
              </w:rPr>
              <w:t xml:space="preserve"> (2027/28–2036/37;</w:t>
            </w:r>
            <w:r>
              <w:rPr>
                <w:rFonts w:ascii="Segoe UI" w:hAnsi="Segoe UI" w:cs="Segoe UI"/>
                <w:sz w:val="23"/>
                <w:szCs w:val="23"/>
              </w:rPr>
              <w:t xml:space="preserve"> Policy HN1</w:t>
            </w:r>
            <w:r w:rsidR="00D85212">
              <w:rPr>
                <w:rFonts w:ascii="Segoe UI" w:hAnsi="Segoe UI" w:cs="Segoe UI"/>
                <w:sz w:val="23"/>
                <w:szCs w:val="23"/>
              </w:rPr>
              <w:t xml:space="preserve"> and Table 3.1). The target is based on assessed housing capacity in the 2026 SHLAA, rather than the higher need estimate of 89,300 homes a year in the 2026 SHMA.</w:t>
            </w:r>
          </w:p>
        </w:tc>
        <w:tc>
          <w:tcPr>
            <w:tcW w:w="0" w:type="auto"/>
            <w:tcMar>
              <w:top w:w="150" w:type="dxa"/>
              <w:left w:w="240" w:type="dxa"/>
              <w:bottom w:w="150" w:type="dxa"/>
              <w:right w:w="0" w:type="dxa"/>
            </w:tcMar>
            <w:vAlign w:val="center"/>
            <w:hideMark/>
          </w:tcPr>
          <w:p w14:paraId="5DD7C360" w14:textId="32BDDBE6" w:rsidR="00952F49" w:rsidRDefault="00952F49">
            <w:pPr>
              <w:spacing w:after="0" w:line="375" w:lineRule="atLeast"/>
            </w:pPr>
            <w:r>
              <w:rPr>
                <w:rFonts w:ascii="Segoe UI" w:hAnsi="Segoe UI" w:cs="Segoe UI"/>
                <w:b/>
                <w:bCs/>
                <w:sz w:val="23"/>
                <w:szCs w:val="23"/>
              </w:rPr>
              <w:t>Housing Need: 27,000 social rent homes per year</w:t>
            </w:r>
            <w:r>
              <w:rPr>
                <w:rFonts w:ascii="Segoe UI" w:hAnsi="Segoe UI" w:cs="Segoe UI"/>
                <w:sz w:val="23"/>
                <w:szCs w:val="23"/>
              </w:rPr>
              <w:t xml:space="preserve"> – calls for a needs-based target for social rented housing </w:t>
            </w:r>
            <w:r w:rsidR="006323C3">
              <w:rPr>
                <w:rFonts w:ascii="Segoe UI" w:hAnsi="Segoe UI" w:cs="Segoe UI"/>
                <w:sz w:val="23"/>
                <w:szCs w:val="23"/>
              </w:rPr>
              <w:t>measured by</w:t>
            </w:r>
            <w:r>
              <w:rPr>
                <w:rFonts w:ascii="Segoe UI" w:hAnsi="Segoe UI" w:cs="Segoe UI"/>
                <w:sz w:val="23"/>
                <w:szCs w:val="23"/>
              </w:rPr>
              <w:t xml:space="preserve"> Net Internal Area, not units (Policy 11). Argues that if the 180,000 empty homes were addressed, the need for new housing would significantly reduce (p. 1</w:t>
            </w:r>
            <w:r w:rsidR="002164D3">
              <w:rPr>
                <w:rFonts w:ascii="Segoe UI" w:hAnsi="Segoe UI" w:cs="Segoe UI"/>
                <w:sz w:val="23"/>
                <w:szCs w:val="23"/>
              </w:rPr>
              <w:t>1</w:t>
            </w:r>
            <w:r>
              <w:rPr>
                <w:rFonts w:ascii="Segoe UI" w:hAnsi="Segoe UI" w:cs="Segoe UI"/>
                <w:sz w:val="23"/>
                <w:szCs w:val="23"/>
              </w:rPr>
              <w:t>).</w:t>
            </w:r>
          </w:p>
        </w:tc>
      </w:tr>
      <w:tr w:rsidR="00952F49" w14:paraId="245E7778" w14:textId="77777777">
        <w:tc>
          <w:tcPr>
            <w:tcW w:w="0" w:type="auto"/>
            <w:tcMar>
              <w:top w:w="150" w:type="dxa"/>
              <w:left w:w="0" w:type="dxa"/>
              <w:bottom w:w="150" w:type="dxa"/>
              <w:right w:w="240" w:type="dxa"/>
            </w:tcMar>
            <w:vAlign w:val="center"/>
            <w:hideMark/>
          </w:tcPr>
          <w:p w14:paraId="75656460" w14:textId="59E2E8E3" w:rsidR="00952F49" w:rsidRDefault="00FE2A51" w:rsidP="00FE2A51">
            <w:pPr>
              <w:spacing w:after="0" w:line="375" w:lineRule="atLeast"/>
            </w:pPr>
            <w:r>
              <w:rPr>
                <w:rFonts w:ascii="Segoe UI" w:hAnsi="Segoe UI" w:cs="Segoe UI"/>
                <w:b/>
                <w:bCs/>
                <w:sz w:val="23"/>
                <w:szCs w:val="23"/>
              </w:rPr>
              <w:t>Affordable housing</w:t>
            </w:r>
            <w:r>
              <w:rPr>
                <w:rFonts w:ascii="Segoe UI" w:hAnsi="Segoe UI" w:cs="Segoe UI"/>
                <w:sz w:val="23"/>
                <w:szCs w:val="23"/>
              </w:rPr>
              <w:t xml:space="preserve"> – retains a 50% strategic target. Policy HN3 uses a threshold approach with location bands of 20%, 25% or 35% for qualifying schemes, alongside a 50% threshold for development on land released from the Green Belt; its updated needs figures are 238,430 low-cost-rent and 129,020 intermediate homes by 2037.</w:t>
            </w:r>
          </w:p>
        </w:tc>
        <w:tc>
          <w:tcPr>
            <w:tcW w:w="0" w:type="auto"/>
            <w:tcMar>
              <w:top w:w="150" w:type="dxa"/>
              <w:left w:w="240" w:type="dxa"/>
              <w:bottom w:w="150" w:type="dxa"/>
              <w:right w:w="0" w:type="dxa"/>
            </w:tcMar>
            <w:vAlign w:val="center"/>
            <w:hideMark/>
          </w:tcPr>
          <w:p w14:paraId="4DC89DE7" w14:textId="02769F75" w:rsidR="00952F49" w:rsidRDefault="00952F49">
            <w:pPr>
              <w:spacing w:after="0" w:line="375" w:lineRule="atLeast"/>
            </w:pPr>
            <w:r>
              <w:rPr>
                <w:rFonts w:ascii="Segoe UI" w:hAnsi="Segoe UI" w:cs="Segoe UI"/>
                <w:b/>
                <w:bCs/>
                <w:sz w:val="23"/>
                <w:szCs w:val="23"/>
              </w:rPr>
              <w:t>Social Rent as Social Infrastructure</w:t>
            </w:r>
            <w:r>
              <w:rPr>
                <w:rFonts w:ascii="Segoe UI" w:hAnsi="Segoe UI" w:cs="Segoe UI"/>
                <w:sz w:val="23"/>
                <w:szCs w:val="23"/>
              </w:rPr>
              <w:t xml:space="preserve"> – defines social rent at target rents as the only genuine affordable housing. Abandons other "affordable" definitions as unaffordable </w:t>
            </w:r>
            <w:r w:rsidR="00665BC5">
              <w:rPr>
                <w:rFonts w:ascii="Segoe UI" w:hAnsi="Segoe UI" w:cs="Segoe UI"/>
                <w:sz w:val="23"/>
                <w:szCs w:val="23"/>
              </w:rPr>
              <w:t xml:space="preserve">to </w:t>
            </w:r>
            <w:r w:rsidR="00AA6BEC">
              <w:rPr>
                <w:rFonts w:ascii="Segoe UI" w:hAnsi="Segoe UI" w:cs="Segoe UI"/>
                <w:sz w:val="23"/>
                <w:szCs w:val="23"/>
              </w:rPr>
              <w:t xml:space="preserve">great </w:t>
            </w:r>
            <w:r w:rsidR="00665BC5">
              <w:rPr>
                <w:rFonts w:ascii="Segoe UI" w:hAnsi="Segoe UI" w:cs="Segoe UI"/>
                <w:sz w:val="23"/>
                <w:szCs w:val="23"/>
              </w:rPr>
              <w:t>m</w:t>
            </w:r>
            <w:r w:rsidR="00AA6BEC">
              <w:rPr>
                <w:rFonts w:ascii="Segoe UI" w:hAnsi="Segoe UI" w:cs="Segoe UI"/>
                <w:sz w:val="23"/>
                <w:szCs w:val="23"/>
              </w:rPr>
              <w:t xml:space="preserve">ajority of Londoners </w:t>
            </w:r>
            <w:r>
              <w:rPr>
                <w:rFonts w:ascii="Segoe UI" w:hAnsi="Segoe UI" w:cs="Segoe UI"/>
                <w:sz w:val="23"/>
                <w:szCs w:val="23"/>
              </w:rPr>
              <w:t>(Policy 12). Insists on </w:t>
            </w:r>
            <w:r>
              <w:rPr>
                <w:rFonts w:ascii="Segoe UI" w:hAnsi="Segoe UI" w:cs="Segoe UI"/>
                <w:b/>
                <w:bCs/>
                <w:sz w:val="23"/>
                <w:szCs w:val="23"/>
              </w:rPr>
              <w:t>non-negotiable social rent requirements</w:t>
            </w:r>
            <w:r>
              <w:rPr>
                <w:rFonts w:ascii="Segoe UI" w:hAnsi="Segoe UI" w:cs="Segoe UI"/>
                <w:sz w:val="23"/>
                <w:szCs w:val="23"/>
              </w:rPr>
              <w:t> (</w:t>
            </w:r>
            <w:r w:rsidR="008D61FA">
              <w:rPr>
                <w:rFonts w:ascii="Segoe UI" w:hAnsi="Segoe UI" w:cs="Segoe UI"/>
                <w:sz w:val="23"/>
                <w:szCs w:val="23"/>
              </w:rPr>
              <w:t>Policy 15</w:t>
            </w:r>
            <w:r>
              <w:rPr>
                <w:rFonts w:ascii="Segoe UI" w:hAnsi="Segoe UI" w:cs="Segoe UI"/>
                <w:sz w:val="23"/>
                <w:szCs w:val="23"/>
              </w:rPr>
              <w:t>).</w:t>
            </w:r>
          </w:p>
        </w:tc>
      </w:tr>
      <w:tr w:rsidR="00952F49" w14:paraId="7F8C763E" w14:textId="77777777">
        <w:tc>
          <w:tcPr>
            <w:tcW w:w="0" w:type="auto"/>
            <w:tcMar>
              <w:top w:w="150" w:type="dxa"/>
              <w:left w:w="0" w:type="dxa"/>
              <w:bottom w:w="150" w:type="dxa"/>
              <w:right w:w="240" w:type="dxa"/>
            </w:tcMar>
            <w:vAlign w:val="center"/>
            <w:hideMark/>
          </w:tcPr>
          <w:p w14:paraId="0EA4F79A" w14:textId="77777777" w:rsidR="00A31796" w:rsidRDefault="00252318" w:rsidP="00252318">
            <w:pPr>
              <w:spacing w:after="0" w:line="375" w:lineRule="atLeast"/>
              <w:rPr>
                <w:rFonts w:ascii="Segoe UI" w:hAnsi="Segoe UI" w:cs="Segoe UI"/>
                <w:sz w:val="23"/>
                <w:szCs w:val="23"/>
              </w:rPr>
            </w:pPr>
            <w:r>
              <w:rPr>
                <w:rFonts w:ascii="Segoe UI" w:hAnsi="Segoe UI" w:cs="Segoe UI"/>
                <w:b/>
                <w:bCs/>
                <w:sz w:val="23"/>
                <w:szCs w:val="23"/>
              </w:rPr>
              <w:lastRenderedPageBreak/>
              <w:t>Market-led delivery and viability</w:t>
            </w:r>
            <w:r>
              <w:rPr>
                <w:rFonts w:ascii="Segoe UI" w:hAnsi="Segoe UI" w:cs="Segoe UI"/>
                <w:sz w:val="23"/>
                <w:szCs w:val="23"/>
              </w:rPr>
              <w:t xml:space="preserve"> – the Plan provides policy frameworks for conventional market housing, purpose-built student accommodation and Build to Rent, and retains viability assessment within the affordable-housing threshold approach (Policies HN3, HN5 and HN6). </w:t>
            </w:r>
          </w:p>
          <w:p w14:paraId="5719F42F" w14:textId="2D462D4C" w:rsidR="00952F49" w:rsidRDefault="00952F49" w:rsidP="00252318">
            <w:pPr>
              <w:spacing w:after="0" w:line="375" w:lineRule="atLeast"/>
            </w:pPr>
          </w:p>
        </w:tc>
        <w:tc>
          <w:tcPr>
            <w:tcW w:w="0" w:type="auto"/>
            <w:tcMar>
              <w:top w:w="150" w:type="dxa"/>
              <w:left w:w="240" w:type="dxa"/>
              <w:bottom w:w="150" w:type="dxa"/>
              <w:right w:w="0" w:type="dxa"/>
            </w:tcMar>
            <w:vAlign w:val="center"/>
            <w:hideMark/>
          </w:tcPr>
          <w:p w14:paraId="19B994C1" w14:textId="28444D74" w:rsidR="00952F49" w:rsidRDefault="00952F49">
            <w:pPr>
              <w:spacing w:after="0" w:line="375" w:lineRule="atLeast"/>
            </w:pPr>
            <w:r>
              <w:rPr>
                <w:rFonts w:ascii="Segoe UI" w:hAnsi="Segoe UI" w:cs="Segoe UI"/>
                <w:b/>
                <w:bCs/>
                <w:sz w:val="23"/>
                <w:szCs w:val="23"/>
              </w:rPr>
              <w:t>Condemns the speculative model</w:t>
            </w:r>
            <w:r>
              <w:rPr>
                <w:rFonts w:ascii="Segoe UI" w:hAnsi="Segoe UI" w:cs="Segoe UI"/>
                <w:sz w:val="23"/>
                <w:szCs w:val="23"/>
              </w:rPr>
              <w:t xml:space="preserve"> – argues it inflates land values, slows production, and raises prices. Calls for a non-speculative, community-led, and public sector delivery model </w:t>
            </w:r>
            <w:r w:rsidR="006B2A76">
              <w:rPr>
                <w:rFonts w:ascii="Segoe UI" w:hAnsi="Segoe UI" w:cs="Segoe UI"/>
                <w:sz w:val="23"/>
                <w:szCs w:val="23"/>
              </w:rPr>
              <w:t xml:space="preserve">that prioritises family-sized housing and social rent </w:t>
            </w:r>
            <w:r w:rsidR="00DE69DE">
              <w:rPr>
                <w:rFonts w:ascii="Segoe UI" w:hAnsi="Segoe UI" w:cs="Segoe UI"/>
                <w:sz w:val="23"/>
                <w:szCs w:val="23"/>
              </w:rPr>
              <w:t>(Policy 15</w:t>
            </w:r>
            <w:r>
              <w:rPr>
                <w:rFonts w:ascii="Segoe UI" w:hAnsi="Segoe UI" w:cs="Segoe UI"/>
                <w:sz w:val="23"/>
                <w:szCs w:val="23"/>
              </w:rPr>
              <w:t>).</w:t>
            </w:r>
            <w:r w:rsidR="007071E2">
              <w:rPr>
                <w:rFonts w:ascii="Segoe UI" w:hAnsi="Segoe UI" w:cs="Segoe UI"/>
                <w:sz w:val="23"/>
                <w:szCs w:val="23"/>
              </w:rPr>
              <w:t xml:space="preserve"> Note</w:t>
            </w:r>
            <w:r w:rsidR="001D5B71">
              <w:rPr>
                <w:rFonts w:ascii="Segoe UI" w:hAnsi="Segoe UI" w:cs="Segoe UI"/>
                <w:sz w:val="23"/>
                <w:szCs w:val="23"/>
              </w:rPr>
              <w:t>:</w:t>
            </w:r>
            <w:r w:rsidR="007071E2">
              <w:rPr>
                <w:rFonts w:ascii="Segoe UI" w:hAnsi="Segoe UI" w:cs="Segoe UI"/>
                <w:sz w:val="23"/>
                <w:szCs w:val="23"/>
              </w:rPr>
              <w:t xml:space="preserve"> 15–20% developer profit on GVA is identified in Planning Practice Guide 2019 Viability para 019.</w:t>
            </w:r>
          </w:p>
        </w:tc>
      </w:tr>
      <w:tr w:rsidR="00952F49" w14:paraId="606B07E8" w14:textId="77777777">
        <w:tc>
          <w:tcPr>
            <w:tcW w:w="0" w:type="auto"/>
            <w:tcMar>
              <w:top w:w="150" w:type="dxa"/>
              <w:left w:w="0" w:type="dxa"/>
              <w:bottom w:w="150" w:type="dxa"/>
              <w:right w:w="240" w:type="dxa"/>
            </w:tcMar>
            <w:vAlign w:val="center"/>
            <w:hideMark/>
          </w:tcPr>
          <w:p w14:paraId="4AA12953" w14:textId="294646B1" w:rsidR="00952F49" w:rsidRDefault="00952F49">
            <w:pPr>
              <w:spacing w:after="0" w:line="375" w:lineRule="atLeast"/>
            </w:pPr>
            <w:r>
              <w:rPr>
                <w:rFonts w:ascii="Segoe UI" w:hAnsi="Segoe UI" w:cs="Segoe UI"/>
                <w:b/>
                <w:bCs/>
                <w:sz w:val="23"/>
                <w:szCs w:val="23"/>
              </w:rPr>
              <w:t>Estate Regeneration &amp; Demolition</w:t>
            </w:r>
            <w:r>
              <w:rPr>
                <w:rFonts w:ascii="Segoe UI" w:hAnsi="Segoe UI" w:cs="Segoe UI"/>
                <w:sz w:val="23"/>
                <w:szCs w:val="23"/>
              </w:rPr>
              <w:t xml:space="preserve"> – supports demolition and replacement where it provides benefits and maximises </w:t>
            </w:r>
            <w:r w:rsidR="001D5374">
              <w:rPr>
                <w:rFonts w:ascii="Segoe UI" w:hAnsi="Segoe UI" w:cs="Segoe UI"/>
                <w:sz w:val="23"/>
                <w:szCs w:val="23"/>
              </w:rPr>
              <w:t>‘</w:t>
            </w:r>
            <w:r>
              <w:rPr>
                <w:rFonts w:ascii="Segoe UI" w:hAnsi="Segoe UI" w:cs="Segoe UI"/>
                <w:sz w:val="23"/>
                <w:szCs w:val="23"/>
              </w:rPr>
              <w:t>affordable housing</w:t>
            </w:r>
            <w:r w:rsidR="001D5374">
              <w:rPr>
                <w:rFonts w:ascii="Segoe UI" w:hAnsi="Segoe UI" w:cs="Segoe UI"/>
                <w:sz w:val="23"/>
                <w:szCs w:val="23"/>
              </w:rPr>
              <w:t>’</w:t>
            </w:r>
            <w:r>
              <w:rPr>
                <w:rFonts w:ascii="Segoe UI" w:hAnsi="Segoe UI" w:cs="Segoe UI"/>
                <w:sz w:val="23"/>
                <w:szCs w:val="23"/>
              </w:rPr>
              <w:t xml:space="preserve"> (Policy HN2).</w:t>
            </w:r>
          </w:p>
        </w:tc>
        <w:tc>
          <w:tcPr>
            <w:tcW w:w="0" w:type="auto"/>
            <w:tcMar>
              <w:top w:w="150" w:type="dxa"/>
              <w:left w:w="240" w:type="dxa"/>
              <w:bottom w:w="150" w:type="dxa"/>
              <w:right w:w="0" w:type="dxa"/>
            </w:tcMar>
            <w:vAlign w:val="center"/>
            <w:hideMark/>
          </w:tcPr>
          <w:p w14:paraId="23BB3849" w14:textId="4D14CFBE" w:rsidR="00952F49" w:rsidRDefault="00952F49">
            <w:pPr>
              <w:spacing w:after="0" w:line="375" w:lineRule="atLeast"/>
            </w:pPr>
            <w:r>
              <w:rPr>
                <w:rFonts w:ascii="Segoe UI" w:hAnsi="Segoe UI" w:cs="Segoe UI"/>
                <w:b/>
                <w:bCs/>
                <w:sz w:val="23"/>
                <w:szCs w:val="23"/>
              </w:rPr>
              <w:t>Refurbishment First</w:t>
            </w:r>
            <w:r>
              <w:rPr>
                <w:rFonts w:ascii="Segoe UI" w:hAnsi="Segoe UI" w:cs="Segoe UI"/>
                <w:sz w:val="23"/>
                <w:szCs w:val="23"/>
              </w:rPr>
              <w:t xml:space="preserve"> – a presumption against estate demolition. Prioritises refurbishment and retrofit over redevelopment (Policy 13). Points to the devastating social and carbon impacts of estate demolition (p. </w:t>
            </w:r>
            <w:r w:rsidR="00AB6A81">
              <w:rPr>
                <w:rFonts w:ascii="Segoe UI" w:hAnsi="Segoe UI" w:cs="Segoe UI"/>
                <w:sz w:val="23"/>
                <w:szCs w:val="23"/>
              </w:rPr>
              <w:t>36</w:t>
            </w:r>
            <w:r>
              <w:rPr>
                <w:rFonts w:ascii="Segoe UI" w:hAnsi="Segoe UI" w:cs="Segoe UI"/>
                <w:sz w:val="23"/>
                <w:szCs w:val="23"/>
              </w:rPr>
              <w:t>).</w:t>
            </w:r>
          </w:p>
        </w:tc>
      </w:tr>
      <w:tr w:rsidR="00952F49" w14:paraId="00B62FD3" w14:textId="77777777">
        <w:tc>
          <w:tcPr>
            <w:tcW w:w="0" w:type="auto"/>
            <w:tcMar>
              <w:top w:w="150" w:type="dxa"/>
              <w:left w:w="0" w:type="dxa"/>
              <w:bottom w:w="150" w:type="dxa"/>
              <w:right w:w="240" w:type="dxa"/>
            </w:tcMar>
            <w:vAlign w:val="center"/>
            <w:hideMark/>
          </w:tcPr>
          <w:p w14:paraId="051B42C0" w14:textId="77777777" w:rsidR="00952F49" w:rsidRDefault="00952F49">
            <w:pPr>
              <w:spacing w:after="0" w:line="375" w:lineRule="atLeast"/>
            </w:pPr>
            <w:r>
              <w:rPr>
                <w:rFonts w:ascii="Segoe UI" w:hAnsi="Segoe UI" w:cs="Segoe UI"/>
                <w:b/>
                <w:bCs/>
                <w:sz w:val="23"/>
                <w:szCs w:val="23"/>
              </w:rPr>
              <w:t>Private Rented Sector</w:t>
            </w:r>
            <w:r>
              <w:rPr>
                <w:rFonts w:ascii="Segoe UI" w:hAnsi="Segoe UI" w:cs="Segoe UI"/>
                <w:sz w:val="23"/>
                <w:szCs w:val="23"/>
              </w:rPr>
              <w:t> – supports Build to Rent with a 15-year covenant and requirements for affordable Key Worker Living Rent homes (Policy HN6).</w:t>
            </w:r>
          </w:p>
        </w:tc>
        <w:tc>
          <w:tcPr>
            <w:tcW w:w="0" w:type="auto"/>
            <w:tcMar>
              <w:top w:w="150" w:type="dxa"/>
              <w:left w:w="240" w:type="dxa"/>
              <w:bottom w:w="150" w:type="dxa"/>
              <w:right w:w="0" w:type="dxa"/>
            </w:tcMar>
            <w:vAlign w:val="center"/>
            <w:hideMark/>
          </w:tcPr>
          <w:p w14:paraId="01DC6FB5" w14:textId="77777777" w:rsidR="00952F49" w:rsidRDefault="00952F49">
            <w:pPr>
              <w:spacing w:after="0" w:line="375" w:lineRule="atLeast"/>
            </w:pPr>
            <w:r>
              <w:rPr>
                <w:rFonts w:ascii="Segoe UI" w:hAnsi="Segoe UI" w:cs="Segoe UI"/>
                <w:b/>
                <w:bCs/>
                <w:sz w:val="23"/>
                <w:szCs w:val="23"/>
              </w:rPr>
              <w:t>Private Rented Sector Regulation</w:t>
            </w:r>
            <w:r>
              <w:rPr>
                <w:rFonts w:ascii="Segoe UI" w:hAnsi="Segoe UI" w:cs="Segoe UI"/>
                <w:sz w:val="23"/>
                <w:szCs w:val="23"/>
              </w:rPr>
              <w:t> – calls for enabling powers for rent regulation and rent controls as a condition of planning consent for Build to Rent (Policy 14).</w:t>
            </w:r>
          </w:p>
        </w:tc>
      </w:tr>
      <w:tr w:rsidR="00952F49" w14:paraId="17D56B89" w14:textId="77777777">
        <w:tc>
          <w:tcPr>
            <w:tcW w:w="0" w:type="auto"/>
            <w:tcMar>
              <w:top w:w="150" w:type="dxa"/>
              <w:left w:w="0" w:type="dxa"/>
              <w:bottom w:w="150" w:type="dxa"/>
              <w:right w:w="240" w:type="dxa"/>
            </w:tcMar>
            <w:vAlign w:val="center"/>
            <w:hideMark/>
          </w:tcPr>
          <w:p w14:paraId="6855668D" w14:textId="77777777" w:rsidR="00952F49" w:rsidRDefault="00952F49">
            <w:pPr>
              <w:spacing w:after="0" w:line="375" w:lineRule="atLeast"/>
            </w:pPr>
            <w:r>
              <w:rPr>
                <w:rFonts w:ascii="Segoe UI" w:hAnsi="Segoe UI" w:cs="Segoe UI"/>
                <w:b/>
                <w:bCs/>
                <w:sz w:val="23"/>
                <w:szCs w:val="23"/>
              </w:rPr>
              <w:t>Gypsy &amp; Traveller Accommodation</w:t>
            </w:r>
            <w:r>
              <w:rPr>
                <w:rFonts w:ascii="Segoe UI" w:hAnsi="Segoe UI" w:cs="Segoe UI"/>
                <w:sz w:val="23"/>
                <w:szCs w:val="23"/>
              </w:rPr>
              <w:t> – sets targets for pitches and plots (Policy HN4).</w:t>
            </w:r>
          </w:p>
        </w:tc>
        <w:tc>
          <w:tcPr>
            <w:tcW w:w="0" w:type="auto"/>
            <w:tcMar>
              <w:top w:w="150" w:type="dxa"/>
              <w:left w:w="240" w:type="dxa"/>
              <w:bottom w:w="150" w:type="dxa"/>
              <w:right w:w="0" w:type="dxa"/>
            </w:tcMar>
            <w:vAlign w:val="center"/>
            <w:hideMark/>
          </w:tcPr>
          <w:p w14:paraId="2F4C2934" w14:textId="3E9551F4" w:rsidR="00952F49" w:rsidRDefault="00952F49">
            <w:pPr>
              <w:spacing w:after="0" w:line="375" w:lineRule="atLeast"/>
            </w:pPr>
            <w:r>
              <w:rPr>
                <w:rFonts w:ascii="Segoe UI" w:hAnsi="Segoe UI" w:cs="Segoe UI"/>
                <w:b/>
                <w:bCs/>
                <w:sz w:val="23"/>
                <w:szCs w:val="23"/>
              </w:rPr>
              <w:t>Gypsy &amp; Traveller Accommodation</w:t>
            </w:r>
            <w:r>
              <w:rPr>
                <w:rFonts w:ascii="Segoe UI" w:hAnsi="Segoe UI" w:cs="Segoe UI"/>
                <w:sz w:val="23"/>
                <w:szCs w:val="23"/>
              </w:rPr>
              <w:t> – supports co-production with communities and highlights the severe shortage (2,000 pitches) and overcrowding (</w:t>
            </w:r>
            <w:r w:rsidR="00304B43">
              <w:rPr>
                <w:rFonts w:ascii="Segoe UI" w:hAnsi="Segoe UI" w:cs="Segoe UI"/>
                <w:sz w:val="23"/>
                <w:szCs w:val="23"/>
              </w:rPr>
              <w:t>p</w:t>
            </w:r>
            <w:r w:rsidR="00E801D4">
              <w:rPr>
                <w:rFonts w:ascii="Segoe UI" w:hAnsi="Segoe UI" w:cs="Segoe UI"/>
                <w:sz w:val="23"/>
                <w:szCs w:val="23"/>
              </w:rPr>
              <w:t xml:space="preserve">.23, </w:t>
            </w:r>
            <w:r>
              <w:rPr>
                <w:rFonts w:ascii="Segoe UI" w:hAnsi="Segoe UI" w:cs="Segoe UI"/>
                <w:sz w:val="23"/>
                <w:szCs w:val="23"/>
              </w:rPr>
              <w:t>Policy 15).</w:t>
            </w:r>
          </w:p>
        </w:tc>
      </w:tr>
    </w:tbl>
    <w:p w14:paraId="4BE8FA3E" w14:textId="77777777" w:rsidR="0082770A" w:rsidRPr="0082770A" w:rsidRDefault="00000000" w:rsidP="0082770A">
      <w:pPr>
        <w:spacing w:before="480" w:after="480" w:line="420" w:lineRule="atLeast"/>
        <w:rPr>
          <w:rFonts w:ascii="Segoe UI" w:eastAsia="Times New Roman" w:hAnsi="Segoe UI" w:cs="Segoe UI"/>
          <w:color w:val="0F1115"/>
          <w:kern w:val="0"/>
          <w:lang w:eastAsia="en-GB"/>
          <w14:ligatures w14:val="none"/>
        </w:rPr>
      </w:pPr>
      <w:r>
        <w:rPr>
          <w:rFonts w:ascii="Segoe UI" w:eastAsia="Times New Roman" w:hAnsi="Segoe UI" w:cs="Segoe UI"/>
          <w:color w:val="0F1115"/>
          <w:kern w:val="0"/>
          <w:lang w:eastAsia="en-GB"/>
          <w14:ligatures w14:val="none"/>
        </w:rPr>
        <w:pict w14:anchorId="1D47CC6B">
          <v:rect id="_x0000_i1026" style="width:0;height:.75pt" o:hralign="center" o:hrstd="t" o:hr="t" fillcolor="#a0a0a0" stroked="f"/>
        </w:pict>
      </w:r>
    </w:p>
    <w:p w14:paraId="43D50187" w14:textId="7EE85BB2"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 xml:space="preserve">3. </w:t>
      </w:r>
      <w:r w:rsidR="00DF2261">
        <w:rPr>
          <w:rFonts w:ascii="Segoe UI" w:eastAsia="Times New Roman" w:hAnsi="Segoe UI" w:cs="Segoe UI"/>
          <w:b/>
          <w:bCs/>
          <w:color w:val="0F1115"/>
          <w:kern w:val="0"/>
          <w:sz w:val="30"/>
          <w:szCs w:val="30"/>
          <w:lang w:eastAsia="en-GB"/>
          <w14:ligatures w14:val="none"/>
        </w:rPr>
        <w:t>Making Best Use of Land</w:t>
      </w:r>
      <w:r w:rsidR="00277F10">
        <w:rPr>
          <w:rFonts w:ascii="Segoe UI" w:eastAsia="Times New Roman" w:hAnsi="Segoe UI" w:cs="Segoe UI"/>
          <w:b/>
          <w:bCs/>
          <w:color w:val="0F1115"/>
          <w:kern w:val="0"/>
          <w:sz w:val="30"/>
          <w:szCs w:val="30"/>
          <w:lang w:eastAsia="en-GB"/>
          <w14:ligatures w14:val="none"/>
        </w:rPr>
        <w:t>,</w:t>
      </w:r>
      <w:r w:rsidRPr="0082770A">
        <w:rPr>
          <w:rFonts w:ascii="Segoe UI" w:eastAsia="Times New Roman" w:hAnsi="Segoe UI" w:cs="Segoe UI"/>
          <w:b/>
          <w:bCs/>
          <w:color w:val="0F1115"/>
          <w:kern w:val="0"/>
          <w:sz w:val="30"/>
          <w:szCs w:val="30"/>
          <w:lang w:eastAsia="en-GB"/>
          <w14:ligatures w14:val="none"/>
        </w:rPr>
        <w:t xml:space="preserve"> Density &amp; Tall Buildings</w:t>
      </w:r>
    </w:p>
    <w:tbl>
      <w:tblPr>
        <w:tblW w:w="5000" w:type="pct"/>
        <w:tblCellMar>
          <w:left w:w="0" w:type="dxa"/>
          <w:right w:w="0" w:type="dxa"/>
        </w:tblCellMar>
        <w:tblLook w:val="04A0" w:firstRow="1" w:lastRow="0" w:firstColumn="1" w:lastColumn="0" w:noHBand="0" w:noVBand="1"/>
      </w:tblPr>
      <w:tblGrid>
        <w:gridCol w:w="4658"/>
        <w:gridCol w:w="4368"/>
      </w:tblGrid>
      <w:tr w:rsidR="003B6992" w14:paraId="1020835E" w14:textId="77777777">
        <w:trPr>
          <w:tblHeader/>
        </w:trPr>
        <w:tc>
          <w:tcPr>
            <w:tcW w:w="0" w:type="auto"/>
            <w:tcMar>
              <w:top w:w="150" w:type="dxa"/>
              <w:left w:w="0" w:type="dxa"/>
              <w:bottom w:w="150" w:type="dxa"/>
              <w:right w:w="240" w:type="dxa"/>
            </w:tcMar>
            <w:vAlign w:val="center"/>
            <w:hideMark/>
          </w:tcPr>
          <w:p w14:paraId="196277C1" w14:textId="77777777" w:rsidR="003B6992" w:rsidRDefault="003B6992">
            <w:pPr>
              <w:spacing w:after="0" w:line="375" w:lineRule="atLeast"/>
              <w:rPr>
                <w:lang w:eastAsia="en-GB"/>
              </w:rPr>
            </w:pPr>
            <w:r>
              <w:rPr>
                <w:rFonts w:ascii="Segoe UI" w:hAnsi="Segoe UI" w:cs="Segoe UI"/>
                <w:b/>
                <w:bCs/>
                <w:sz w:val="23"/>
                <w:szCs w:val="23"/>
              </w:rPr>
              <w:lastRenderedPageBreak/>
              <w:t>Draft London Plan (Mayor)</w:t>
            </w:r>
          </w:p>
        </w:tc>
        <w:tc>
          <w:tcPr>
            <w:tcW w:w="0" w:type="auto"/>
            <w:tcMar>
              <w:top w:w="150" w:type="dxa"/>
              <w:left w:w="240" w:type="dxa"/>
              <w:bottom w:w="150" w:type="dxa"/>
              <w:right w:w="240" w:type="dxa"/>
            </w:tcMar>
            <w:vAlign w:val="center"/>
            <w:hideMark/>
          </w:tcPr>
          <w:p w14:paraId="7198DB43" w14:textId="77777777" w:rsidR="003B6992" w:rsidRDefault="003B6992">
            <w:pPr>
              <w:spacing w:after="0" w:line="375" w:lineRule="atLeast"/>
            </w:pPr>
            <w:r>
              <w:rPr>
                <w:rFonts w:ascii="Segoe UI" w:hAnsi="Segoe UI" w:cs="Segoe UI"/>
                <w:b/>
                <w:bCs/>
                <w:sz w:val="23"/>
                <w:szCs w:val="23"/>
              </w:rPr>
              <w:t>Just Space Alternative Plan</w:t>
            </w:r>
          </w:p>
        </w:tc>
      </w:tr>
      <w:tr w:rsidR="00844966" w14:paraId="01877D76" w14:textId="77777777" w:rsidTr="00E05247">
        <w:tc>
          <w:tcPr>
            <w:tcW w:w="0" w:type="auto"/>
            <w:tcMar>
              <w:top w:w="150" w:type="dxa"/>
              <w:left w:w="0" w:type="dxa"/>
              <w:bottom w:w="150" w:type="dxa"/>
              <w:right w:w="240" w:type="dxa"/>
            </w:tcMar>
            <w:vAlign w:val="center"/>
          </w:tcPr>
          <w:p w14:paraId="3BA97661" w14:textId="4F5CC735" w:rsidR="00844966" w:rsidRDefault="00844966">
            <w:pPr>
              <w:spacing w:after="0" w:line="375" w:lineRule="atLeast"/>
            </w:pPr>
            <w:r w:rsidRPr="00844966">
              <w:rPr>
                <w:b/>
                <w:bCs/>
              </w:rPr>
              <w:t>Spatial Strategy –</w:t>
            </w:r>
            <w:r w:rsidRPr="00844966">
              <w:t xml:space="preserve"> focuses growth on brownfield sites, in Broad Locations for Growth (BLGs), Opportunity Areas, and along transport corridors, maintaining a London-centric approach (Chapter 2, p. 13).</w:t>
            </w:r>
            <w:r w:rsidRPr="00844966">
              <w:tab/>
            </w:r>
          </w:p>
        </w:tc>
        <w:tc>
          <w:tcPr>
            <w:tcW w:w="0" w:type="auto"/>
            <w:tcMar>
              <w:top w:w="150" w:type="dxa"/>
              <w:left w:w="240" w:type="dxa"/>
              <w:bottom w:w="150" w:type="dxa"/>
              <w:right w:w="0" w:type="dxa"/>
            </w:tcMar>
            <w:vAlign w:val="center"/>
          </w:tcPr>
          <w:p w14:paraId="6F2F3815" w14:textId="40DA31D8" w:rsidR="00844966" w:rsidRDefault="00844966">
            <w:pPr>
              <w:spacing w:after="0" w:line="375" w:lineRule="atLeast"/>
            </w:pPr>
            <w:r w:rsidRPr="00844966">
              <w:rPr>
                <w:b/>
                <w:bCs/>
              </w:rPr>
              <w:t>Polycentric City</w:t>
            </w:r>
            <w:r w:rsidRPr="00844966">
              <w:t xml:space="preserve"> – calls for a step-change in orbital transport and investment in a network of Lifetime Neighbourhoods across London to reduce the need to travel into the centre (Policies 10 &amp; 26).</w:t>
            </w:r>
          </w:p>
        </w:tc>
      </w:tr>
      <w:tr w:rsidR="003B6992" w14:paraId="3D620C02" w14:textId="77777777">
        <w:tc>
          <w:tcPr>
            <w:tcW w:w="0" w:type="auto"/>
            <w:tcMar>
              <w:top w:w="150" w:type="dxa"/>
              <w:left w:w="0" w:type="dxa"/>
              <w:bottom w:w="150" w:type="dxa"/>
              <w:right w:w="240" w:type="dxa"/>
            </w:tcMar>
            <w:vAlign w:val="center"/>
            <w:hideMark/>
          </w:tcPr>
          <w:p w14:paraId="40EBE129" w14:textId="77777777" w:rsidR="003B6992" w:rsidRDefault="003B6992">
            <w:pPr>
              <w:spacing w:after="0" w:line="375" w:lineRule="atLeast"/>
            </w:pPr>
            <w:r>
              <w:rPr>
                <w:rFonts w:ascii="Segoe UI" w:hAnsi="Segoe UI" w:cs="Segoe UI"/>
                <w:b/>
                <w:bCs/>
                <w:sz w:val="23"/>
                <w:szCs w:val="23"/>
              </w:rPr>
              <w:t>Optimisation Framework</w:t>
            </w:r>
            <w:r>
              <w:rPr>
                <w:rFonts w:ascii="Segoe UI" w:hAnsi="Segoe UI" w:cs="Segoe UI"/>
                <w:sz w:val="23"/>
                <w:szCs w:val="23"/>
              </w:rPr>
              <w:t> – introduces </w:t>
            </w:r>
            <w:r>
              <w:rPr>
                <w:rFonts w:ascii="Segoe UI" w:hAnsi="Segoe UI" w:cs="Segoe UI"/>
                <w:b/>
                <w:bCs/>
                <w:sz w:val="23"/>
                <w:szCs w:val="23"/>
              </w:rPr>
              <w:t>minimum density requirements</w:t>
            </w:r>
            <w:r>
              <w:rPr>
                <w:rFonts w:ascii="Segoe UI" w:hAnsi="Segoe UI" w:cs="Segoe UI"/>
                <w:sz w:val="23"/>
                <w:szCs w:val="23"/>
              </w:rPr>
              <w:t> based on transport connectivity (SAM), encouraging higher densities (Policy MBUL2).</w:t>
            </w:r>
          </w:p>
        </w:tc>
        <w:tc>
          <w:tcPr>
            <w:tcW w:w="0" w:type="auto"/>
            <w:tcMar>
              <w:top w:w="150" w:type="dxa"/>
              <w:left w:w="240" w:type="dxa"/>
              <w:bottom w:w="150" w:type="dxa"/>
              <w:right w:w="0" w:type="dxa"/>
            </w:tcMar>
            <w:vAlign w:val="center"/>
            <w:hideMark/>
          </w:tcPr>
          <w:p w14:paraId="3429A9C0" w14:textId="346B4018" w:rsidR="003B6992" w:rsidRDefault="003B6992">
            <w:pPr>
              <w:spacing w:after="0" w:line="375" w:lineRule="atLeast"/>
            </w:pPr>
            <w:r>
              <w:rPr>
                <w:rFonts w:ascii="Segoe UI" w:hAnsi="Segoe UI" w:cs="Segoe UI"/>
                <w:b/>
                <w:bCs/>
                <w:sz w:val="23"/>
                <w:szCs w:val="23"/>
              </w:rPr>
              <w:t>Reintroduce Density Matrix</w:t>
            </w:r>
            <w:r>
              <w:rPr>
                <w:rFonts w:ascii="Segoe UI" w:hAnsi="Segoe UI" w:cs="Segoe UI"/>
                <w:sz w:val="23"/>
                <w:szCs w:val="23"/>
              </w:rPr>
              <w:t> – calls for a return to a density matrix with </w:t>
            </w:r>
            <w:r>
              <w:rPr>
                <w:rFonts w:ascii="Segoe UI" w:hAnsi="Segoe UI" w:cs="Segoe UI"/>
                <w:b/>
                <w:bCs/>
                <w:sz w:val="23"/>
                <w:szCs w:val="23"/>
              </w:rPr>
              <w:t>maximum limits</w:t>
            </w:r>
            <w:r>
              <w:rPr>
                <w:rFonts w:ascii="Segoe UI" w:hAnsi="Segoe UI" w:cs="Segoe UI"/>
                <w:sz w:val="23"/>
                <w:szCs w:val="23"/>
              </w:rPr>
              <w:t xml:space="preserve"> to reduce speculation, lower land prices, and enable non-negotiable </w:t>
            </w:r>
            <w:r w:rsidR="0015405F">
              <w:rPr>
                <w:rFonts w:ascii="Segoe UI" w:hAnsi="Segoe UI" w:cs="Segoe UI"/>
                <w:sz w:val="23"/>
                <w:szCs w:val="23"/>
              </w:rPr>
              <w:t xml:space="preserve">genuine </w:t>
            </w:r>
            <w:r>
              <w:rPr>
                <w:rFonts w:ascii="Segoe UI" w:hAnsi="Segoe UI" w:cs="Segoe UI"/>
                <w:sz w:val="23"/>
                <w:szCs w:val="23"/>
              </w:rPr>
              <w:t>affordable housing quotas (Policy 9).</w:t>
            </w:r>
          </w:p>
        </w:tc>
      </w:tr>
      <w:tr w:rsidR="003B6992" w14:paraId="3FA54EA0" w14:textId="77777777">
        <w:tc>
          <w:tcPr>
            <w:tcW w:w="0" w:type="auto"/>
            <w:tcMar>
              <w:top w:w="150" w:type="dxa"/>
              <w:left w:w="0" w:type="dxa"/>
              <w:bottom w:w="150" w:type="dxa"/>
              <w:right w:w="240" w:type="dxa"/>
            </w:tcMar>
            <w:vAlign w:val="center"/>
            <w:hideMark/>
          </w:tcPr>
          <w:p w14:paraId="757379B9" w14:textId="77777777" w:rsidR="003B6992" w:rsidRDefault="003B6992">
            <w:pPr>
              <w:spacing w:after="0" w:line="375" w:lineRule="atLeast"/>
            </w:pPr>
            <w:r>
              <w:rPr>
                <w:rFonts w:ascii="Segoe UI" w:hAnsi="Segoe UI" w:cs="Segoe UI"/>
                <w:b/>
                <w:bCs/>
                <w:sz w:val="23"/>
                <w:szCs w:val="23"/>
              </w:rPr>
              <w:t>Tall Buildings</w:t>
            </w:r>
            <w:r>
              <w:rPr>
                <w:rFonts w:ascii="Segoe UI" w:hAnsi="Segoe UI" w:cs="Segoe UI"/>
                <w:sz w:val="23"/>
                <w:szCs w:val="23"/>
              </w:rPr>
              <w:t> – creates a framework for tall buildings (30m+) and identifies </w:t>
            </w:r>
            <w:r>
              <w:rPr>
                <w:rFonts w:ascii="Segoe UI" w:hAnsi="Segoe UI" w:cs="Segoe UI"/>
                <w:b/>
                <w:bCs/>
                <w:sz w:val="23"/>
                <w:szCs w:val="23"/>
              </w:rPr>
              <w:t>metropolitan clusters for 100m+ buildings</w:t>
            </w:r>
            <w:r>
              <w:rPr>
                <w:rFonts w:ascii="Segoe UI" w:hAnsi="Segoe UI" w:cs="Segoe UI"/>
                <w:sz w:val="23"/>
                <w:szCs w:val="23"/>
              </w:rPr>
              <w:t> (Policy MBUL3). Sees them as contributing to London's global image.</w:t>
            </w:r>
          </w:p>
        </w:tc>
        <w:tc>
          <w:tcPr>
            <w:tcW w:w="0" w:type="auto"/>
            <w:tcMar>
              <w:top w:w="150" w:type="dxa"/>
              <w:left w:w="240" w:type="dxa"/>
              <w:bottom w:w="150" w:type="dxa"/>
              <w:right w:w="0" w:type="dxa"/>
            </w:tcMar>
            <w:vAlign w:val="center"/>
            <w:hideMark/>
          </w:tcPr>
          <w:p w14:paraId="6A11959B" w14:textId="77777777" w:rsidR="003B6992" w:rsidRDefault="003B6992">
            <w:pPr>
              <w:spacing w:after="0" w:line="375" w:lineRule="atLeast"/>
            </w:pPr>
            <w:r>
              <w:rPr>
                <w:rFonts w:ascii="Segoe UI" w:hAnsi="Segoe UI" w:cs="Segoe UI"/>
                <w:b/>
                <w:bCs/>
                <w:sz w:val="23"/>
                <w:szCs w:val="23"/>
              </w:rPr>
              <w:t>Limit Tall Buildings</w:t>
            </w:r>
            <w:r>
              <w:rPr>
                <w:rFonts w:ascii="Segoe UI" w:hAnsi="Segoe UI" w:cs="Segoe UI"/>
                <w:sz w:val="23"/>
                <w:szCs w:val="23"/>
              </w:rPr>
              <w:t> – argues tall buildings are generally not appropriate for housing, carbon-intensive, cause community displacement, and should be confined to commercial development in the Central Activities Zone (CAZ) (Policy 8).</w:t>
            </w:r>
          </w:p>
        </w:tc>
      </w:tr>
      <w:tr w:rsidR="00E05247" w14:paraId="058A78D4" w14:textId="77777777" w:rsidTr="00CA6759">
        <w:tc>
          <w:tcPr>
            <w:tcW w:w="0" w:type="auto"/>
            <w:tcMar>
              <w:top w:w="150" w:type="dxa"/>
              <w:left w:w="0" w:type="dxa"/>
              <w:bottom w:w="150" w:type="dxa"/>
              <w:right w:w="240" w:type="dxa"/>
            </w:tcMar>
            <w:vAlign w:val="center"/>
            <w:hideMark/>
          </w:tcPr>
          <w:p w14:paraId="05CAFC66" w14:textId="77777777" w:rsidR="00E05247" w:rsidRDefault="00E05247" w:rsidP="00CA6759">
            <w:pPr>
              <w:spacing w:after="0" w:line="375" w:lineRule="atLeast"/>
            </w:pPr>
            <w:r>
              <w:rPr>
                <w:rFonts w:ascii="Segoe UI" w:hAnsi="Segoe UI" w:cs="Segoe UI"/>
                <w:b/>
                <w:bCs/>
                <w:sz w:val="23"/>
                <w:szCs w:val="23"/>
              </w:rPr>
              <w:t>Green Belt Release</w:t>
            </w:r>
            <w:r>
              <w:rPr>
                <w:rFonts w:ascii="Segoe UI" w:hAnsi="Segoe UI" w:cs="Segoe UI"/>
                <w:sz w:val="23"/>
                <w:szCs w:val="23"/>
              </w:rPr>
              <w:t> – proposes the </w:t>
            </w:r>
            <w:r>
              <w:rPr>
                <w:rFonts w:ascii="Segoe UI" w:hAnsi="Segoe UI" w:cs="Segoe UI"/>
                <w:b/>
                <w:bCs/>
                <w:sz w:val="23"/>
                <w:szCs w:val="23"/>
              </w:rPr>
              <w:t>managed release of selected Green Belt</w:t>
            </w:r>
            <w:r>
              <w:rPr>
                <w:rFonts w:ascii="Segoe UI" w:hAnsi="Segoe UI" w:cs="Segoe UI"/>
                <w:sz w:val="23"/>
                <w:szCs w:val="23"/>
              </w:rPr>
              <w:t xml:space="preserve"> to assist in delivering 56,000 homes and 350ha industrial land (Policies MBUL1, PV7, Tables 3.1 &amp; C2).</w:t>
            </w:r>
          </w:p>
        </w:tc>
        <w:tc>
          <w:tcPr>
            <w:tcW w:w="0" w:type="auto"/>
            <w:tcMar>
              <w:top w:w="150" w:type="dxa"/>
              <w:left w:w="240" w:type="dxa"/>
              <w:bottom w:w="150" w:type="dxa"/>
              <w:right w:w="0" w:type="dxa"/>
            </w:tcMar>
            <w:vAlign w:val="center"/>
            <w:hideMark/>
          </w:tcPr>
          <w:p w14:paraId="5741774C" w14:textId="1A970E7B" w:rsidR="00E05247" w:rsidRDefault="0029746C" w:rsidP="00CA6759">
            <w:pPr>
              <w:spacing w:after="0" w:line="375" w:lineRule="atLeast"/>
            </w:pPr>
            <w:r>
              <w:rPr>
                <w:rFonts w:ascii="Segoe UI" w:hAnsi="Segoe UI" w:cs="Segoe UI"/>
                <w:b/>
                <w:bCs/>
                <w:sz w:val="23"/>
                <w:szCs w:val="23"/>
              </w:rPr>
              <w:t xml:space="preserve">Brownfield </w:t>
            </w:r>
            <w:r w:rsidR="00C542E4">
              <w:rPr>
                <w:rFonts w:ascii="Segoe UI" w:hAnsi="Segoe UI" w:cs="Segoe UI"/>
                <w:b/>
                <w:bCs/>
                <w:sz w:val="23"/>
                <w:szCs w:val="23"/>
              </w:rPr>
              <w:t>F</w:t>
            </w:r>
            <w:r>
              <w:rPr>
                <w:rFonts w:ascii="Segoe UI" w:hAnsi="Segoe UI" w:cs="Segoe UI"/>
                <w:b/>
                <w:bCs/>
                <w:sz w:val="23"/>
                <w:szCs w:val="23"/>
              </w:rPr>
              <w:t>irst</w:t>
            </w:r>
            <w:r w:rsidR="00E05247">
              <w:rPr>
                <w:rFonts w:ascii="Segoe UI" w:hAnsi="Segoe UI" w:cs="Segoe UI"/>
                <w:sz w:val="23"/>
                <w:szCs w:val="23"/>
              </w:rPr>
              <w:t> –</w:t>
            </w:r>
            <w:r w:rsidR="00C542E4">
              <w:rPr>
                <w:rFonts w:ascii="Segoe UI" w:hAnsi="Segoe UI" w:cs="Segoe UI"/>
                <w:sz w:val="23"/>
                <w:szCs w:val="23"/>
              </w:rPr>
              <w:t>a</w:t>
            </w:r>
            <w:r w:rsidR="00E05247">
              <w:rPr>
                <w:rFonts w:ascii="Segoe UI" w:hAnsi="Segoe UI" w:cs="Segoe UI"/>
                <w:sz w:val="23"/>
                <w:szCs w:val="23"/>
              </w:rPr>
              <w:t>rgues that brownfield land should be prioritised and that the government's narrative of "nature as a block to growth" is false (p. 33).</w:t>
            </w:r>
          </w:p>
        </w:tc>
      </w:tr>
    </w:tbl>
    <w:p w14:paraId="5D100C63" w14:textId="77777777" w:rsidR="0082770A" w:rsidRPr="0082770A" w:rsidRDefault="00000000" w:rsidP="0082770A">
      <w:pPr>
        <w:spacing w:before="480" w:after="480" w:line="420" w:lineRule="atLeast"/>
        <w:rPr>
          <w:rFonts w:ascii="Segoe UI" w:eastAsia="Times New Roman" w:hAnsi="Segoe UI" w:cs="Segoe UI"/>
          <w:color w:val="0F1115"/>
          <w:kern w:val="0"/>
          <w:lang w:eastAsia="en-GB"/>
          <w14:ligatures w14:val="none"/>
        </w:rPr>
      </w:pPr>
      <w:r>
        <w:rPr>
          <w:rFonts w:ascii="Segoe UI" w:eastAsia="Times New Roman" w:hAnsi="Segoe UI" w:cs="Segoe UI"/>
          <w:color w:val="0F1115"/>
          <w:kern w:val="0"/>
          <w:lang w:eastAsia="en-GB"/>
          <w14:ligatures w14:val="none"/>
        </w:rPr>
        <w:pict w14:anchorId="6679E83B">
          <v:rect id="_x0000_i1027" style="width:0;height:.75pt" o:hralign="center" o:hrstd="t" o:hr="t" fillcolor="#a0a0a0" stroked="f"/>
        </w:pict>
      </w:r>
    </w:p>
    <w:p w14:paraId="4BB82415" w14:textId="77777777"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4. Participation, Equality &amp; Community Power</w:t>
      </w:r>
    </w:p>
    <w:tbl>
      <w:tblPr>
        <w:tblW w:w="5000" w:type="pct"/>
        <w:tblCellMar>
          <w:left w:w="0" w:type="dxa"/>
          <w:right w:w="0" w:type="dxa"/>
        </w:tblCellMar>
        <w:tblLook w:val="04A0" w:firstRow="1" w:lastRow="0" w:firstColumn="1" w:lastColumn="0" w:noHBand="0" w:noVBand="1"/>
      </w:tblPr>
      <w:tblGrid>
        <w:gridCol w:w="4327"/>
        <w:gridCol w:w="4699"/>
      </w:tblGrid>
      <w:tr w:rsidR="00690AEE" w14:paraId="22D8F12D" w14:textId="77777777">
        <w:trPr>
          <w:tblHeader/>
        </w:trPr>
        <w:tc>
          <w:tcPr>
            <w:tcW w:w="0" w:type="auto"/>
            <w:tcMar>
              <w:top w:w="150" w:type="dxa"/>
              <w:left w:w="0" w:type="dxa"/>
              <w:bottom w:w="150" w:type="dxa"/>
              <w:right w:w="240" w:type="dxa"/>
            </w:tcMar>
            <w:vAlign w:val="center"/>
            <w:hideMark/>
          </w:tcPr>
          <w:p w14:paraId="1C4E5E74" w14:textId="77777777" w:rsidR="00690AEE" w:rsidRDefault="00690AEE">
            <w:pPr>
              <w:spacing w:after="0" w:line="375" w:lineRule="atLeast"/>
              <w:rPr>
                <w:lang w:eastAsia="en-GB"/>
              </w:rPr>
            </w:pPr>
            <w:r>
              <w:rPr>
                <w:rFonts w:ascii="Segoe UI" w:hAnsi="Segoe UI" w:cs="Segoe UI"/>
                <w:b/>
                <w:bCs/>
                <w:sz w:val="23"/>
                <w:szCs w:val="23"/>
              </w:rPr>
              <w:lastRenderedPageBreak/>
              <w:t>Draft London Plan (Mayor)</w:t>
            </w:r>
          </w:p>
        </w:tc>
        <w:tc>
          <w:tcPr>
            <w:tcW w:w="0" w:type="auto"/>
            <w:tcMar>
              <w:top w:w="150" w:type="dxa"/>
              <w:left w:w="240" w:type="dxa"/>
              <w:bottom w:w="150" w:type="dxa"/>
              <w:right w:w="240" w:type="dxa"/>
            </w:tcMar>
            <w:vAlign w:val="center"/>
            <w:hideMark/>
          </w:tcPr>
          <w:p w14:paraId="058A39D2" w14:textId="77777777" w:rsidR="00690AEE" w:rsidRDefault="00690AEE">
            <w:pPr>
              <w:spacing w:after="0" w:line="375" w:lineRule="atLeast"/>
            </w:pPr>
            <w:r>
              <w:rPr>
                <w:rFonts w:ascii="Segoe UI" w:hAnsi="Segoe UI" w:cs="Segoe UI"/>
                <w:b/>
                <w:bCs/>
                <w:sz w:val="23"/>
                <w:szCs w:val="23"/>
              </w:rPr>
              <w:t>Just Space Alternative Plan</w:t>
            </w:r>
          </w:p>
        </w:tc>
      </w:tr>
      <w:tr w:rsidR="00690AEE" w14:paraId="37D75BD6" w14:textId="77777777">
        <w:tc>
          <w:tcPr>
            <w:tcW w:w="0" w:type="auto"/>
            <w:tcMar>
              <w:top w:w="150" w:type="dxa"/>
              <w:left w:w="0" w:type="dxa"/>
              <w:bottom w:w="150" w:type="dxa"/>
              <w:right w:w="240" w:type="dxa"/>
            </w:tcMar>
            <w:vAlign w:val="center"/>
            <w:hideMark/>
          </w:tcPr>
          <w:p w14:paraId="77A9148D" w14:textId="4EDB0B48" w:rsidR="00690AEE" w:rsidRDefault="00690AEE">
            <w:pPr>
              <w:spacing w:after="0" w:line="375" w:lineRule="atLeast"/>
            </w:pPr>
            <w:r>
              <w:rPr>
                <w:rFonts w:ascii="Segoe UI" w:hAnsi="Segoe UI" w:cs="Segoe UI"/>
                <w:b/>
                <w:bCs/>
                <w:sz w:val="23"/>
                <w:szCs w:val="23"/>
              </w:rPr>
              <w:t>Community Participation</w:t>
            </w:r>
            <w:r>
              <w:rPr>
                <w:rFonts w:ascii="Segoe UI" w:hAnsi="Segoe UI" w:cs="Segoe UI"/>
                <w:sz w:val="23"/>
                <w:szCs w:val="23"/>
              </w:rPr>
              <w:t xml:space="preserve"> – limited to </w:t>
            </w:r>
            <w:r w:rsidR="00C64CCB">
              <w:rPr>
                <w:rFonts w:ascii="Segoe UI" w:hAnsi="Segoe UI" w:cs="Segoe UI"/>
                <w:sz w:val="23"/>
                <w:szCs w:val="23"/>
              </w:rPr>
              <w:t>preliminary</w:t>
            </w:r>
            <w:r>
              <w:rPr>
                <w:rFonts w:ascii="Segoe UI" w:hAnsi="Segoe UI" w:cs="Segoe UI"/>
                <w:sz w:val="23"/>
                <w:szCs w:val="23"/>
              </w:rPr>
              <w:t xml:space="preserve"> consultation</w:t>
            </w:r>
            <w:r w:rsidR="000C2933">
              <w:rPr>
                <w:rFonts w:ascii="Segoe UI" w:hAnsi="Segoe UI" w:cs="Segoe UI"/>
                <w:sz w:val="23"/>
                <w:szCs w:val="23"/>
              </w:rPr>
              <w:t xml:space="preserve"> on issues</w:t>
            </w:r>
            <w:r>
              <w:rPr>
                <w:rFonts w:ascii="Segoe UI" w:hAnsi="Segoe UI" w:cs="Segoe UI"/>
                <w:sz w:val="23"/>
                <w:szCs w:val="23"/>
              </w:rPr>
              <w:t xml:space="preserve">. The plan is </w:t>
            </w:r>
            <w:r w:rsidR="000C2933">
              <w:rPr>
                <w:rFonts w:ascii="Segoe UI" w:hAnsi="Segoe UI" w:cs="Segoe UI"/>
                <w:sz w:val="23"/>
                <w:szCs w:val="23"/>
              </w:rPr>
              <w:t xml:space="preserve">then </w:t>
            </w:r>
            <w:r>
              <w:rPr>
                <w:rFonts w:ascii="Segoe UI" w:hAnsi="Segoe UI" w:cs="Segoe UI"/>
                <w:sz w:val="23"/>
                <w:szCs w:val="23"/>
              </w:rPr>
              <w:t>d</w:t>
            </w:r>
            <w:r w:rsidR="00D63523">
              <w:rPr>
                <w:rFonts w:ascii="Segoe UI" w:hAnsi="Segoe UI" w:cs="Segoe UI"/>
                <w:sz w:val="23"/>
                <w:szCs w:val="23"/>
              </w:rPr>
              <w:t>rafted</w:t>
            </w:r>
            <w:r>
              <w:rPr>
                <w:rFonts w:ascii="Segoe UI" w:hAnsi="Segoe UI" w:cs="Segoe UI"/>
                <w:sz w:val="23"/>
                <w:szCs w:val="23"/>
              </w:rPr>
              <w:t xml:space="preserve"> by the Mayor and his team </w:t>
            </w:r>
            <w:r w:rsidR="00D63523">
              <w:rPr>
                <w:rFonts w:ascii="Segoe UI" w:hAnsi="Segoe UI" w:cs="Segoe UI"/>
                <w:sz w:val="23"/>
                <w:szCs w:val="23"/>
              </w:rPr>
              <w:t xml:space="preserve">and subjected to </w:t>
            </w:r>
            <w:r w:rsidR="006D5A88">
              <w:rPr>
                <w:rFonts w:ascii="Segoe UI" w:hAnsi="Segoe UI" w:cs="Segoe UI"/>
                <w:sz w:val="23"/>
                <w:szCs w:val="23"/>
              </w:rPr>
              <w:t>a statutory public consultation focused on the proposed</w:t>
            </w:r>
            <w:r>
              <w:rPr>
                <w:rFonts w:ascii="Segoe UI" w:hAnsi="Segoe UI" w:cs="Segoe UI"/>
                <w:sz w:val="23"/>
                <w:szCs w:val="23"/>
              </w:rPr>
              <w:t xml:space="preserve"> policies.</w:t>
            </w:r>
          </w:p>
        </w:tc>
        <w:tc>
          <w:tcPr>
            <w:tcW w:w="0" w:type="auto"/>
            <w:tcMar>
              <w:top w:w="150" w:type="dxa"/>
              <w:left w:w="240" w:type="dxa"/>
              <w:bottom w:w="150" w:type="dxa"/>
              <w:right w:w="0" w:type="dxa"/>
            </w:tcMar>
            <w:vAlign w:val="center"/>
            <w:hideMark/>
          </w:tcPr>
          <w:p w14:paraId="2C8650D2" w14:textId="77777777" w:rsidR="00690AEE" w:rsidRDefault="00690AEE">
            <w:pPr>
              <w:spacing w:after="0" w:line="375" w:lineRule="atLeast"/>
            </w:pPr>
            <w:r>
              <w:rPr>
                <w:rFonts w:ascii="Segoe UI" w:hAnsi="Segoe UI" w:cs="Segoe UI"/>
                <w:b/>
                <w:bCs/>
                <w:sz w:val="23"/>
                <w:szCs w:val="23"/>
              </w:rPr>
              <w:t>Co-production as a Core Value</w:t>
            </w:r>
            <w:r>
              <w:rPr>
                <w:rFonts w:ascii="Segoe UI" w:hAnsi="Segoe UI" w:cs="Segoe UI"/>
                <w:sz w:val="23"/>
                <w:szCs w:val="23"/>
              </w:rPr>
              <w:t> – requires meaningful co-production from the earliest stages, with community review panels and citizens' assemblies. Community participation is framed as a positive benefit, not an obstacle (Policy 4).</w:t>
            </w:r>
          </w:p>
        </w:tc>
      </w:tr>
      <w:tr w:rsidR="00690AEE" w14:paraId="0A349D37" w14:textId="77777777">
        <w:tc>
          <w:tcPr>
            <w:tcW w:w="0" w:type="auto"/>
            <w:tcMar>
              <w:top w:w="150" w:type="dxa"/>
              <w:left w:w="0" w:type="dxa"/>
              <w:bottom w:w="150" w:type="dxa"/>
              <w:right w:w="240" w:type="dxa"/>
            </w:tcMar>
            <w:vAlign w:val="center"/>
            <w:hideMark/>
          </w:tcPr>
          <w:p w14:paraId="5BEAE886" w14:textId="3263739E" w:rsidR="00690AEE" w:rsidRDefault="00690AEE">
            <w:pPr>
              <w:spacing w:after="0" w:line="375" w:lineRule="atLeast"/>
            </w:pPr>
            <w:r>
              <w:rPr>
                <w:rFonts w:ascii="Segoe UI" w:hAnsi="Segoe UI" w:cs="Segoe UI"/>
                <w:b/>
                <w:bCs/>
                <w:sz w:val="23"/>
                <w:szCs w:val="23"/>
              </w:rPr>
              <w:t>Equalities</w:t>
            </w:r>
            <w:r>
              <w:rPr>
                <w:rFonts w:ascii="Segoe UI" w:hAnsi="Segoe UI" w:cs="Segoe UI"/>
                <w:sz w:val="23"/>
                <w:szCs w:val="23"/>
              </w:rPr>
              <w:t xml:space="preserve"> – mentions the Public Sector Equality Duty but </w:t>
            </w:r>
            <w:r w:rsidR="007D79F7">
              <w:rPr>
                <w:rFonts w:ascii="Segoe UI" w:hAnsi="Segoe UI" w:cs="Segoe UI"/>
                <w:sz w:val="23"/>
                <w:szCs w:val="23"/>
              </w:rPr>
              <w:t xml:space="preserve">does not </w:t>
            </w:r>
            <w:r w:rsidR="00342381">
              <w:rPr>
                <w:rFonts w:ascii="Segoe UI" w:hAnsi="Segoe UI" w:cs="Segoe UI"/>
                <w:sz w:val="23"/>
                <w:szCs w:val="23"/>
              </w:rPr>
              <w:t xml:space="preserve">explicitly devise policies that deliver </w:t>
            </w:r>
            <w:r w:rsidR="0043765F">
              <w:rPr>
                <w:rFonts w:ascii="Segoe UI" w:hAnsi="Segoe UI" w:cs="Segoe UI"/>
                <w:sz w:val="23"/>
                <w:szCs w:val="23"/>
              </w:rPr>
              <w:t>on this.</w:t>
            </w:r>
            <w:r>
              <w:rPr>
                <w:rFonts w:ascii="Segoe UI" w:hAnsi="Segoe UI" w:cs="Segoe UI"/>
                <w:sz w:val="23"/>
                <w:szCs w:val="23"/>
              </w:rPr>
              <w:t xml:space="preserve"> Equalities Impact Assessments are often a</w:t>
            </w:r>
            <w:r w:rsidR="00957299">
              <w:rPr>
                <w:rFonts w:ascii="Segoe UI" w:hAnsi="Segoe UI" w:cs="Segoe UI"/>
                <w:sz w:val="23"/>
                <w:szCs w:val="23"/>
              </w:rPr>
              <w:t xml:space="preserve"> tick box exercise</w:t>
            </w:r>
            <w:r>
              <w:rPr>
                <w:rFonts w:ascii="Segoe UI" w:hAnsi="Segoe UI" w:cs="Segoe UI"/>
                <w:sz w:val="23"/>
                <w:szCs w:val="23"/>
              </w:rPr>
              <w:t xml:space="preserve"> (p. </w:t>
            </w:r>
            <w:r w:rsidR="005F480C">
              <w:rPr>
                <w:rFonts w:ascii="Segoe UI" w:hAnsi="Segoe UI" w:cs="Segoe UI"/>
                <w:sz w:val="23"/>
                <w:szCs w:val="23"/>
              </w:rPr>
              <w:t>2</w:t>
            </w:r>
            <w:r>
              <w:rPr>
                <w:rFonts w:ascii="Segoe UI" w:hAnsi="Segoe UI" w:cs="Segoe UI"/>
                <w:sz w:val="23"/>
                <w:szCs w:val="23"/>
              </w:rPr>
              <w:t>).</w:t>
            </w:r>
          </w:p>
        </w:tc>
        <w:tc>
          <w:tcPr>
            <w:tcW w:w="0" w:type="auto"/>
            <w:tcMar>
              <w:top w:w="150" w:type="dxa"/>
              <w:left w:w="240" w:type="dxa"/>
              <w:bottom w:w="150" w:type="dxa"/>
              <w:right w:w="0" w:type="dxa"/>
            </w:tcMar>
            <w:vAlign w:val="center"/>
            <w:hideMark/>
          </w:tcPr>
          <w:p w14:paraId="5DE736F7" w14:textId="77777777" w:rsidR="00690AEE" w:rsidRDefault="00690AEE">
            <w:pPr>
              <w:spacing w:after="0" w:line="375" w:lineRule="atLeast"/>
            </w:pPr>
            <w:r>
              <w:rPr>
                <w:rFonts w:ascii="Segoe UI" w:hAnsi="Segoe UI" w:cs="Segoe UI"/>
                <w:b/>
                <w:bCs/>
                <w:sz w:val="23"/>
                <w:szCs w:val="23"/>
              </w:rPr>
              <w:t>Equalities Impact Assessments</w:t>
            </w:r>
            <w:r>
              <w:rPr>
                <w:rFonts w:ascii="Segoe UI" w:hAnsi="Segoe UI" w:cs="Segoe UI"/>
                <w:sz w:val="23"/>
                <w:szCs w:val="23"/>
              </w:rPr>
              <w:t> – must be produced before decisions are taken, fully published, and consider impacts on all protected characteristics (Policy 2). Calls for the visibility of racial inequalities and patterns of deprivation (Policy 3).</w:t>
            </w:r>
          </w:p>
        </w:tc>
      </w:tr>
      <w:tr w:rsidR="00690AEE" w14:paraId="03EC607F" w14:textId="77777777">
        <w:tc>
          <w:tcPr>
            <w:tcW w:w="0" w:type="auto"/>
            <w:tcMar>
              <w:top w:w="150" w:type="dxa"/>
              <w:left w:w="0" w:type="dxa"/>
              <w:bottom w:w="150" w:type="dxa"/>
              <w:right w:w="240" w:type="dxa"/>
            </w:tcMar>
            <w:vAlign w:val="center"/>
            <w:hideMark/>
          </w:tcPr>
          <w:p w14:paraId="1F8007A5" w14:textId="6AB4FC39" w:rsidR="00690AEE" w:rsidRDefault="00690AEE">
            <w:pPr>
              <w:spacing w:after="0" w:line="375" w:lineRule="atLeast"/>
            </w:pPr>
            <w:r>
              <w:rPr>
                <w:rFonts w:ascii="Segoe UI" w:hAnsi="Segoe UI" w:cs="Segoe UI"/>
                <w:b/>
                <w:bCs/>
                <w:sz w:val="23"/>
                <w:szCs w:val="23"/>
              </w:rPr>
              <w:t>Democracy</w:t>
            </w:r>
            <w:r>
              <w:rPr>
                <w:rFonts w:ascii="Segoe UI" w:hAnsi="Segoe UI" w:cs="Segoe UI"/>
                <w:sz w:val="23"/>
                <w:szCs w:val="23"/>
              </w:rPr>
              <w:t xml:space="preserve"> – the Mayor and his Deputy Mayors have significant power. The London Assembly </w:t>
            </w:r>
            <w:r w:rsidR="00BC7E43">
              <w:rPr>
                <w:rFonts w:ascii="Segoe UI" w:hAnsi="Segoe UI" w:cs="Segoe UI"/>
                <w:sz w:val="23"/>
                <w:szCs w:val="23"/>
              </w:rPr>
              <w:t>can scrutinise</w:t>
            </w:r>
            <w:r>
              <w:rPr>
                <w:rFonts w:ascii="Segoe UI" w:hAnsi="Segoe UI" w:cs="Segoe UI"/>
                <w:sz w:val="23"/>
                <w:szCs w:val="23"/>
              </w:rPr>
              <w:t xml:space="preserve"> but </w:t>
            </w:r>
            <w:r w:rsidR="003B5C8C">
              <w:rPr>
                <w:rFonts w:ascii="Segoe UI" w:hAnsi="Segoe UI" w:cs="Segoe UI"/>
                <w:sz w:val="23"/>
                <w:szCs w:val="23"/>
              </w:rPr>
              <w:t xml:space="preserve">has </w:t>
            </w:r>
            <w:r>
              <w:rPr>
                <w:rFonts w:ascii="Segoe UI" w:hAnsi="Segoe UI" w:cs="Segoe UI"/>
                <w:sz w:val="23"/>
                <w:szCs w:val="23"/>
              </w:rPr>
              <w:t xml:space="preserve">limited </w:t>
            </w:r>
            <w:r w:rsidR="003B5C8C">
              <w:rPr>
                <w:rFonts w:ascii="Segoe UI" w:hAnsi="Segoe UI" w:cs="Segoe UI"/>
                <w:sz w:val="23"/>
                <w:szCs w:val="23"/>
              </w:rPr>
              <w:t xml:space="preserve">veto of </w:t>
            </w:r>
            <w:r>
              <w:rPr>
                <w:rFonts w:ascii="Segoe UI" w:hAnsi="Segoe UI" w:cs="Segoe UI"/>
                <w:sz w:val="23"/>
                <w:szCs w:val="23"/>
              </w:rPr>
              <w:t>decision-making power</w:t>
            </w:r>
            <w:r w:rsidR="003B5C8C">
              <w:rPr>
                <w:rFonts w:ascii="Segoe UI" w:hAnsi="Segoe UI" w:cs="Segoe UI"/>
                <w:sz w:val="23"/>
                <w:szCs w:val="23"/>
              </w:rPr>
              <w:t>s</w:t>
            </w:r>
            <w:r>
              <w:rPr>
                <w:rFonts w:ascii="Segoe UI" w:hAnsi="Segoe UI" w:cs="Segoe UI"/>
                <w:sz w:val="23"/>
                <w:szCs w:val="23"/>
              </w:rPr>
              <w:t>.</w:t>
            </w:r>
          </w:p>
        </w:tc>
        <w:tc>
          <w:tcPr>
            <w:tcW w:w="0" w:type="auto"/>
            <w:tcMar>
              <w:top w:w="150" w:type="dxa"/>
              <w:left w:w="240" w:type="dxa"/>
              <w:bottom w:w="150" w:type="dxa"/>
              <w:right w:w="0" w:type="dxa"/>
            </w:tcMar>
            <w:vAlign w:val="center"/>
            <w:hideMark/>
          </w:tcPr>
          <w:p w14:paraId="0DB2156B" w14:textId="088FCF47" w:rsidR="00690AEE" w:rsidRDefault="00690AEE">
            <w:pPr>
              <w:spacing w:after="0" w:line="375" w:lineRule="atLeast"/>
            </w:pPr>
            <w:r>
              <w:rPr>
                <w:rFonts w:ascii="Segoe UI" w:hAnsi="Segoe UI" w:cs="Segoe UI"/>
                <w:b/>
                <w:bCs/>
                <w:sz w:val="23"/>
                <w:szCs w:val="23"/>
              </w:rPr>
              <w:t>Reform GLA</w:t>
            </w:r>
            <w:r>
              <w:rPr>
                <w:rFonts w:ascii="Segoe UI" w:hAnsi="Segoe UI" w:cs="Segoe UI"/>
                <w:sz w:val="23"/>
                <w:szCs w:val="23"/>
              </w:rPr>
              <w:t xml:space="preserve"> – calls for the GLA to reform as a democratic body, with the London Assembly having </w:t>
            </w:r>
            <w:r w:rsidR="00217F26">
              <w:rPr>
                <w:rFonts w:ascii="Segoe UI" w:hAnsi="Segoe UI" w:cs="Segoe UI"/>
                <w:sz w:val="23"/>
                <w:szCs w:val="23"/>
              </w:rPr>
              <w:t xml:space="preserve">effective scrutiny and </w:t>
            </w:r>
            <w:r>
              <w:rPr>
                <w:rFonts w:ascii="Segoe UI" w:hAnsi="Segoe UI" w:cs="Segoe UI"/>
                <w:sz w:val="23"/>
                <w:szCs w:val="23"/>
              </w:rPr>
              <w:t xml:space="preserve">decision-making powers. Closes the revolving doors between </w:t>
            </w:r>
            <w:r w:rsidR="00644A61">
              <w:rPr>
                <w:rFonts w:ascii="Segoe UI" w:hAnsi="Segoe UI" w:cs="Segoe UI"/>
                <w:sz w:val="23"/>
                <w:szCs w:val="23"/>
              </w:rPr>
              <w:t>politicians</w:t>
            </w:r>
            <w:r>
              <w:rPr>
                <w:rFonts w:ascii="Segoe UI" w:hAnsi="Segoe UI" w:cs="Segoe UI"/>
                <w:sz w:val="23"/>
                <w:szCs w:val="23"/>
              </w:rPr>
              <w:t xml:space="preserve"> and the development industry (Policy 6).</w:t>
            </w:r>
          </w:p>
        </w:tc>
      </w:tr>
    </w:tbl>
    <w:p w14:paraId="0BECD348" w14:textId="77777777" w:rsidR="0082770A" w:rsidRPr="0082770A" w:rsidRDefault="00000000" w:rsidP="0082770A">
      <w:pPr>
        <w:spacing w:before="480" w:after="480" w:line="420" w:lineRule="atLeast"/>
        <w:rPr>
          <w:rFonts w:ascii="Segoe UI" w:eastAsia="Times New Roman" w:hAnsi="Segoe UI" w:cs="Segoe UI"/>
          <w:color w:val="0F1115"/>
          <w:kern w:val="0"/>
          <w:lang w:eastAsia="en-GB"/>
          <w14:ligatures w14:val="none"/>
        </w:rPr>
      </w:pPr>
      <w:r>
        <w:rPr>
          <w:rFonts w:ascii="Segoe UI" w:eastAsia="Times New Roman" w:hAnsi="Segoe UI" w:cs="Segoe UI"/>
          <w:color w:val="0F1115"/>
          <w:kern w:val="0"/>
          <w:lang w:eastAsia="en-GB"/>
          <w14:ligatures w14:val="none"/>
        </w:rPr>
        <w:pict w14:anchorId="6DCF0496">
          <v:rect id="_x0000_i1028" style="width:0;height:.75pt" o:hralign="center" o:hrstd="t" o:hr="t" fillcolor="#a0a0a0" stroked="f"/>
        </w:pict>
      </w:r>
    </w:p>
    <w:p w14:paraId="17723232" w14:textId="77777777"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5. Economy &amp; Town Centres</w:t>
      </w:r>
    </w:p>
    <w:tbl>
      <w:tblPr>
        <w:tblW w:w="5000" w:type="pct"/>
        <w:tblCellMar>
          <w:left w:w="0" w:type="dxa"/>
          <w:right w:w="0" w:type="dxa"/>
        </w:tblCellMar>
        <w:tblLook w:val="04A0" w:firstRow="1" w:lastRow="0" w:firstColumn="1" w:lastColumn="0" w:noHBand="0" w:noVBand="1"/>
      </w:tblPr>
      <w:tblGrid>
        <w:gridCol w:w="4096"/>
        <w:gridCol w:w="4930"/>
      </w:tblGrid>
      <w:tr w:rsidR="00E01A31" w14:paraId="6F0C8266" w14:textId="77777777">
        <w:trPr>
          <w:tblHeader/>
        </w:trPr>
        <w:tc>
          <w:tcPr>
            <w:tcW w:w="0" w:type="auto"/>
            <w:vAlign w:val="center"/>
            <w:hideMark/>
          </w:tcPr>
          <w:p w14:paraId="38F2DD78" w14:textId="77777777" w:rsidR="00E01A31" w:rsidRDefault="00E01A31">
            <w:pPr>
              <w:rPr>
                <w:lang w:eastAsia="en-GB"/>
              </w:rPr>
            </w:pPr>
            <w:r>
              <w:rPr>
                <w:b/>
                <w:bCs/>
              </w:rPr>
              <w:t>Draft London Plan (Mayor)</w:t>
            </w:r>
          </w:p>
        </w:tc>
        <w:tc>
          <w:tcPr>
            <w:tcW w:w="0" w:type="auto"/>
            <w:vAlign w:val="center"/>
            <w:hideMark/>
          </w:tcPr>
          <w:p w14:paraId="58271990" w14:textId="77777777" w:rsidR="00E01A31" w:rsidRDefault="00E01A31">
            <w:r>
              <w:rPr>
                <w:b/>
                <w:bCs/>
              </w:rPr>
              <w:t>Just Space Alternative Plan</w:t>
            </w:r>
          </w:p>
        </w:tc>
      </w:tr>
      <w:tr w:rsidR="00E01A31" w14:paraId="140C2156" w14:textId="77777777">
        <w:tc>
          <w:tcPr>
            <w:tcW w:w="0" w:type="auto"/>
            <w:vAlign w:val="center"/>
            <w:hideMark/>
          </w:tcPr>
          <w:p w14:paraId="4DF38222" w14:textId="77777777" w:rsidR="00E01A31" w:rsidRDefault="00E01A31">
            <w:r>
              <w:rPr>
                <w:b/>
                <w:bCs/>
              </w:rPr>
              <w:t>London Growth Plan</w:t>
            </w:r>
            <w:r>
              <w:t xml:space="preserve"> – focuses on financial services, real estate, data centres, and high-growth sectors to boost productivity and GDP.</w:t>
            </w:r>
          </w:p>
        </w:tc>
        <w:tc>
          <w:tcPr>
            <w:tcW w:w="0" w:type="auto"/>
            <w:vAlign w:val="center"/>
            <w:hideMark/>
          </w:tcPr>
          <w:p w14:paraId="11D42E97" w14:textId="77777777" w:rsidR="00E01A31" w:rsidRDefault="00E01A31">
            <w:r>
              <w:rPr>
                <w:b/>
                <w:bCs/>
              </w:rPr>
              <w:t>Local Economy &amp; Social Value</w:t>
            </w:r>
            <w:r>
              <w:t xml:space="preserve"> – prioritises the local economy, small businesses, and manufacturing. Calls for audits of social value, not just economic value (Policy 20).</w:t>
            </w:r>
          </w:p>
        </w:tc>
      </w:tr>
      <w:tr w:rsidR="00E01A31" w14:paraId="170F0583" w14:textId="77777777">
        <w:tc>
          <w:tcPr>
            <w:tcW w:w="0" w:type="auto"/>
            <w:vAlign w:val="center"/>
            <w:hideMark/>
          </w:tcPr>
          <w:p w14:paraId="3067A8D9" w14:textId="77777777" w:rsidR="00E01A31" w:rsidRDefault="00E01A31">
            <w:r>
              <w:rPr>
                <w:b/>
                <w:bCs/>
              </w:rPr>
              <w:t>Industrial Land</w:t>
            </w:r>
            <w:r>
              <w:t xml:space="preserve"> – seeks to balance the need for industrial land with housing need, allowing for some managed </w:t>
            </w:r>
            <w:r>
              <w:lastRenderedPageBreak/>
              <w:t>release of less accessible industrial land (Policy PV5).</w:t>
            </w:r>
          </w:p>
        </w:tc>
        <w:tc>
          <w:tcPr>
            <w:tcW w:w="0" w:type="auto"/>
            <w:vAlign w:val="center"/>
            <w:hideMark/>
          </w:tcPr>
          <w:p w14:paraId="13C5670C" w14:textId="77777777" w:rsidR="00E01A31" w:rsidRDefault="00E01A31">
            <w:r>
              <w:rPr>
                <w:b/>
                <w:bCs/>
              </w:rPr>
              <w:lastRenderedPageBreak/>
              <w:t>No Net Loss of Industrial Land</w:t>
            </w:r>
            <w:r>
              <w:t xml:space="preserve"> – demands urgent monitoring and protection of industrial land, particularly for small businesses, from </w:t>
            </w:r>
            <w:r>
              <w:lastRenderedPageBreak/>
              <w:t>displacement by logistics sheds and data centres (Policy 24).</w:t>
            </w:r>
          </w:p>
        </w:tc>
      </w:tr>
      <w:tr w:rsidR="00E01A31" w14:paraId="1D7089F8" w14:textId="77777777">
        <w:tc>
          <w:tcPr>
            <w:tcW w:w="0" w:type="auto"/>
            <w:vAlign w:val="center"/>
            <w:hideMark/>
          </w:tcPr>
          <w:p w14:paraId="36533760" w14:textId="6035979B" w:rsidR="00E01A31" w:rsidRDefault="00E01A31">
            <w:r>
              <w:rPr>
                <w:b/>
                <w:bCs/>
              </w:rPr>
              <w:lastRenderedPageBreak/>
              <w:t>Affordable Workspace</w:t>
            </w:r>
            <w:r>
              <w:t xml:space="preserve"> – has a policy for affordable workspace but it</w:t>
            </w:r>
            <w:r w:rsidR="004D2DD1">
              <w:t xml:space="preserve">s provision </w:t>
            </w:r>
            <w:r w:rsidR="001E7D20">
              <w:t>is triggered</w:t>
            </w:r>
            <w:r>
              <w:t xml:space="preserve"> by applications and has flexible requirements (Policy GLE7).</w:t>
            </w:r>
          </w:p>
        </w:tc>
        <w:tc>
          <w:tcPr>
            <w:tcW w:w="0" w:type="auto"/>
            <w:vAlign w:val="center"/>
            <w:hideMark/>
          </w:tcPr>
          <w:p w14:paraId="31802DF9" w14:textId="77777777" w:rsidR="00E01A31" w:rsidRDefault="00E01A31">
            <w:r>
              <w:rPr>
                <w:b/>
                <w:bCs/>
              </w:rPr>
              <w:t>Protect Low-cost Workspace</w:t>
            </w:r>
            <w:r>
              <w:t xml:space="preserve"> – calls for protecting older spaces (railway arches, bus garages), re-purposing surplus commercial units, and establishing low-cost workspace hubs (Policy 22).</w:t>
            </w:r>
          </w:p>
        </w:tc>
      </w:tr>
      <w:tr w:rsidR="00E01A31" w14:paraId="3D1F0E22" w14:textId="77777777">
        <w:tc>
          <w:tcPr>
            <w:tcW w:w="0" w:type="auto"/>
            <w:vAlign w:val="center"/>
            <w:hideMark/>
          </w:tcPr>
          <w:p w14:paraId="59135E22" w14:textId="4C2472DC" w:rsidR="00E01A31" w:rsidRDefault="00E01A31">
            <w:r>
              <w:rPr>
                <w:b/>
                <w:bCs/>
              </w:rPr>
              <w:t>Markets</w:t>
            </w:r>
            <w:r>
              <w:t xml:space="preserve"> – mentions markets but does not provide strong protection </w:t>
            </w:r>
            <w:r w:rsidR="002A2655">
              <w:t>(Policy PV3</w:t>
            </w:r>
            <w:r w:rsidR="00CB3AA6">
              <w:t xml:space="preserve">). </w:t>
            </w:r>
            <w:r>
              <w:t>The Mayor's London Markets Board was dissolved.</w:t>
            </w:r>
          </w:p>
          <w:p w14:paraId="0169A0C6" w14:textId="5C1C18C3" w:rsidR="0025211D" w:rsidRDefault="0025211D">
            <w:r w:rsidRPr="0025211D">
              <w:rPr>
                <w:b/>
                <w:bCs/>
              </w:rPr>
              <w:t>Data Centres</w:t>
            </w:r>
            <w:r>
              <w:t xml:space="preserve"> – sets criteria to meet the demand for data centres (Policy GLE 3).</w:t>
            </w:r>
          </w:p>
        </w:tc>
        <w:tc>
          <w:tcPr>
            <w:tcW w:w="0" w:type="auto"/>
            <w:vAlign w:val="center"/>
            <w:hideMark/>
          </w:tcPr>
          <w:p w14:paraId="4C498FD0" w14:textId="77777777" w:rsidR="00E01A31" w:rsidRDefault="00E01A31">
            <w:r>
              <w:rPr>
                <w:b/>
                <w:bCs/>
              </w:rPr>
              <w:t>Safeguard Markets</w:t>
            </w:r>
            <w:r>
              <w:t xml:space="preserve"> – requires boroughs to recognise the value of markets, retain public ownership, protect low rents, and provide meaningful consultation before any development proposals (Policy 21).</w:t>
            </w:r>
          </w:p>
        </w:tc>
      </w:tr>
    </w:tbl>
    <w:p w14:paraId="5020E3DD" w14:textId="77777777" w:rsidR="0082770A" w:rsidRPr="0082770A" w:rsidRDefault="00000000" w:rsidP="0082770A">
      <w:pPr>
        <w:spacing w:before="480" w:after="480" w:line="420" w:lineRule="atLeast"/>
        <w:rPr>
          <w:rFonts w:ascii="Segoe UI" w:eastAsia="Times New Roman" w:hAnsi="Segoe UI" w:cs="Segoe UI"/>
          <w:color w:val="0F1115"/>
          <w:kern w:val="0"/>
          <w:lang w:eastAsia="en-GB"/>
          <w14:ligatures w14:val="none"/>
        </w:rPr>
      </w:pPr>
      <w:r>
        <w:rPr>
          <w:rFonts w:ascii="Segoe UI" w:eastAsia="Times New Roman" w:hAnsi="Segoe UI" w:cs="Segoe UI"/>
          <w:color w:val="0F1115"/>
          <w:kern w:val="0"/>
          <w:lang w:eastAsia="en-GB"/>
          <w14:ligatures w14:val="none"/>
        </w:rPr>
        <w:pict w14:anchorId="39EFD093">
          <v:rect id="_x0000_i1029" style="width:0;height:.75pt" o:hralign="center" o:hrstd="t" o:hr="t" fillcolor="#a0a0a0" stroked="f"/>
        </w:pict>
      </w:r>
    </w:p>
    <w:p w14:paraId="18D27BF1" w14:textId="77777777"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6. Environment &amp; Climate</w:t>
      </w:r>
    </w:p>
    <w:tbl>
      <w:tblPr>
        <w:tblW w:w="5000" w:type="pct"/>
        <w:tblCellMar>
          <w:left w:w="0" w:type="dxa"/>
          <w:right w:w="0" w:type="dxa"/>
        </w:tblCellMar>
        <w:tblLook w:val="04A0" w:firstRow="1" w:lastRow="0" w:firstColumn="1" w:lastColumn="0" w:noHBand="0" w:noVBand="1"/>
      </w:tblPr>
      <w:tblGrid>
        <w:gridCol w:w="3626"/>
        <w:gridCol w:w="5400"/>
      </w:tblGrid>
      <w:tr w:rsidR="00613C56" w14:paraId="592F0145" w14:textId="77777777">
        <w:trPr>
          <w:tblHeader/>
        </w:trPr>
        <w:tc>
          <w:tcPr>
            <w:tcW w:w="0" w:type="auto"/>
            <w:vAlign w:val="center"/>
            <w:hideMark/>
          </w:tcPr>
          <w:p w14:paraId="0E07F9EE" w14:textId="77777777" w:rsidR="00613C56" w:rsidRDefault="00613C56">
            <w:pPr>
              <w:rPr>
                <w:lang w:eastAsia="en-GB"/>
              </w:rPr>
            </w:pPr>
            <w:r>
              <w:rPr>
                <w:b/>
                <w:bCs/>
              </w:rPr>
              <w:t>Draft London Plan (Mayor)</w:t>
            </w:r>
          </w:p>
        </w:tc>
        <w:tc>
          <w:tcPr>
            <w:tcW w:w="0" w:type="auto"/>
            <w:vAlign w:val="center"/>
            <w:hideMark/>
          </w:tcPr>
          <w:p w14:paraId="630BDD20" w14:textId="77777777" w:rsidR="00613C56" w:rsidRDefault="00613C56">
            <w:r>
              <w:rPr>
                <w:b/>
                <w:bCs/>
              </w:rPr>
              <w:t>Just Space Alternative Plan</w:t>
            </w:r>
          </w:p>
        </w:tc>
      </w:tr>
      <w:tr w:rsidR="00613C56" w14:paraId="1A4C7ED2" w14:textId="77777777">
        <w:tc>
          <w:tcPr>
            <w:tcW w:w="0" w:type="auto"/>
            <w:vAlign w:val="center"/>
            <w:hideMark/>
          </w:tcPr>
          <w:p w14:paraId="7B509C70" w14:textId="2D7DBC25" w:rsidR="00613C56" w:rsidRDefault="006C5906" w:rsidP="006C5906">
            <w:r>
              <w:rPr>
                <w:b/>
                <w:bCs/>
              </w:rPr>
              <w:t>Operational and whole-life carbon</w:t>
            </w:r>
            <w:r>
              <w:t xml:space="preserve"> – sets energy-efficiency standards and requires Whole Life-Cycle Carbon assessment </w:t>
            </w:r>
            <w:r w:rsidR="001565BC">
              <w:t xml:space="preserve">only mentioning </w:t>
            </w:r>
            <w:r w:rsidR="004D2EC8">
              <w:t xml:space="preserve">embodied carbon </w:t>
            </w:r>
            <w:r w:rsidR="00752305">
              <w:t>(</w:t>
            </w:r>
            <w:r>
              <w:t>Policies GHR1 and GHR3</w:t>
            </w:r>
            <w:r w:rsidR="00752305">
              <w:t>)</w:t>
            </w:r>
            <w:r>
              <w:t xml:space="preserve">. </w:t>
            </w:r>
          </w:p>
        </w:tc>
        <w:tc>
          <w:tcPr>
            <w:tcW w:w="0" w:type="auto"/>
            <w:vAlign w:val="center"/>
            <w:hideMark/>
          </w:tcPr>
          <w:p w14:paraId="5E8E75DD" w14:textId="77777777" w:rsidR="00613C56" w:rsidRDefault="00613C56">
            <w:r>
              <w:rPr>
                <w:b/>
                <w:bCs/>
              </w:rPr>
              <w:t>Minimising Embodied Energy</w:t>
            </w:r>
            <w:r>
              <w:t xml:space="preserve"> – calls for limits on embodied energy and prioritises low-carbon materials. Criticises the plan for ignoring embodied carbon (Policy 33).</w:t>
            </w:r>
          </w:p>
        </w:tc>
      </w:tr>
      <w:tr w:rsidR="00613C56" w14:paraId="685468A2" w14:textId="77777777">
        <w:tc>
          <w:tcPr>
            <w:tcW w:w="0" w:type="auto"/>
            <w:vAlign w:val="center"/>
            <w:hideMark/>
          </w:tcPr>
          <w:p w14:paraId="03AA0879" w14:textId="116C3F96" w:rsidR="00613C56" w:rsidRDefault="00000000" w:rsidP="00740B44">
            <w:r>
              <w:rPr>
                <w:b/>
                <w:bCs/>
              </w:rPr>
              <w:t xml:space="preserve">Circular </w:t>
            </w:r>
            <w:r w:rsidR="00740B44">
              <w:rPr>
                <w:b/>
                <w:bCs/>
              </w:rPr>
              <w:t>economy</w:t>
            </w:r>
            <w:r w:rsidR="00740B44">
              <w:t xml:space="preserve"> – Policy GLE11</w:t>
            </w:r>
            <w:r>
              <w:t xml:space="preserve"> requires a Circular Economy Statement for referable applications</w:t>
            </w:r>
            <w:r w:rsidR="00740B44">
              <w:t xml:space="preserve">. </w:t>
            </w:r>
          </w:p>
        </w:tc>
        <w:tc>
          <w:tcPr>
            <w:tcW w:w="0" w:type="auto"/>
            <w:vAlign w:val="center"/>
            <w:hideMark/>
          </w:tcPr>
          <w:p w14:paraId="2D13B6B1" w14:textId="12423808" w:rsidR="00613C56" w:rsidRDefault="00613C56">
            <w:r>
              <w:rPr>
                <w:b/>
                <w:bCs/>
              </w:rPr>
              <w:t>Retention of Buildings</w:t>
            </w:r>
            <w:r>
              <w:t xml:space="preserve"> – calls for a strong presumption against demolition. Requires a pre-redevelopment audit to demonstrate that demolition is the only option (Policy 32). Points to the scandal of the Marks &amp; Spencer and 72 Upper Ground decisions</w:t>
            </w:r>
            <w:r w:rsidR="0072265B">
              <w:t xml:space="preserve"> (p. 35)</w:t>
            </w:r>
            <w:r w:rsidR="00F94285">
              <w:t xml:space="preserve"> and </w:t>
            </w:r>
            <w:r w:rsidR="00F76DB4">
              <w:t>criticises GLA</w:t>
            </w:r>
            <w:r w:rsidR="002833DB">
              <w:t xml:space="preserve"> Policy for</w:t>
            </w:r>
            <w:r w:rsidR="0053540A">
              <w:t xml:space="preserve"> </w:t>
            </w:r>
            <w:r w:rsidR="00DB3670">
              <w:t xml:space="preserve">being weak on </w:t>
            </w:r>
            <w:r w:rsidR="002833DB">
              <w:t>implementatio</w:t>
            </w:r>
            <w:r w:rsidR="00DB3670">
              <w:t>n.</w:t>
            </w:r>
            <w:r w:rsidR="0053540A">
              <w:t xml:space="preserve"> </w:t>
            </w:r>
          </w:p>
        </w:tc>
      </w:tr>
      <w:tr w:rsidR="00613C56" w14:paraId="577DE81C" w14:textId="77777777">
        <w:tc>
          <w:tcPr>
            <w:tcW w:w="0" w:type="auto"/>
            <w:vAlign w:val="center"/>
            <w:hideMark/>
          </w:tcPr>
          <w:p w14:paraId="093F01DF" w14:textId="7B2600A6" w:rsidR="00613C56" w:rsidRDefault="00613C56">
            <w:r>
              <w:rPr>
                <w:b/>
                <w:bCs/>
              </w:rPr>
              <w:t>Biodiversity Net Gain (BNG)</w:t>
            </w:r>
            <w:r>
              <w:t xml:space="preserve"> – requires BNG but government exemptions for smaller sites </w:t>
            </w:r>
            <w:r>
              <w:lastRenderedPageBreak/>
              <w:t>undermine its effectiveness.</w:t>
            </w:r>
            <w:r w:rsidR="003A2C46">
              <w:t xml:space="preserve"> Keeps the Urban Greening Factor for new development (policy GHR7).</w:t>
            </w:r>
          </w:p>
        </w:tc>
        <w:tc>
          <w:tcPr>
            <w:tcW w:w="0" w:type="auto"/>
            <w:vAlign w:val="center"/>
            <w:hideMark/>
          </w:tcPr>
          <w:p w14:paraId="51377485" w14:textId="77777777" w:rsidR="00613C56" w:rsidRDefault="00613C56">
            <w:r>
              <w:rPr>
                <w:b/>
                <w:bCs/>
              </w:rPr>
              <w:lastRenderedPageBreak/>
              <w:t>Full BNG Implementation</w:t>
            </w:r>
            <w:r>
              <w:t xml:space="preserve"> – demands BNG be fully implemented without exceptions. Calls for </w:t>
            </w:r>
            <w:r>
              <w:lastRenderedPageBreak/>
              <w:t>Biodiversity Review Panels and Natural Capital Accounting (Policy 36).</w:t>
            </w:r>
          </w:p>
        </w:tc>
      </w:tr>
      <w:tr w:rsidR="00613C56" w14:paraId="3F012D6F" w14:textId="77777777">
        <w:tc>
          <w:tcPr>
            <w:tcW w:w="0" w:type="auto"/>
            <w:vAlign w:val="center"/>
            <w:hideMark/>
          </w:tcPr>
          <w:p w14:paraId="143E5331" w14:textId="7207914F" w:rsidR="00613C56" w:rsidRDefault="00613C56">
            <w:r>
              <w:rPr>
                <w:b/>
                <w:bCs/>
              </w:rPr>
              <w:lastRenderedPageBreak/>
              <w:t>Air Quality</w:t>
            </w:r>
            <w:r>
              <w:t xml:space="preserve"> – requires Air Quality Neutral development and sets </w:t>
            </w:r>
            <w:r w:rsidR="008D4E2C">
              <w:t xml:space="preserve">Non-Road </w:t>
            </w:r>
            <w:r>
              <w:t>M</w:t>
            </w:r>
            <w:r w:rsidR="008D4E2C">
              <w:t xml:space="preserve">obile </w:t>
            </w:r>
            <w:r>
              <w:t>M</w:t>
            </w:r>
            <w:r w:rsidR="008D4E2C">
              <w:t>achinery</w:t>
            </w:r>
            <w:r>
              <w:t xml:space="preserve"> standards (Policy GHR10).</w:t>
            </w:r>
          </w:p>
        </w:tc>
        <w:tc>
          <w:tcPr>
            <w:tcW w:w="0" w:type="auto"/>
            <w:vAlign w:val="center"/>
            <w:hideMark/>
          </w:tcPr>
          <w:p w14:paraId="360A2A2F" w14:textId="37E7670A" w:rsidR="00613C56" w:rsidRDefault="00613C56">
            <w:r>
              <w:rPr>
                <w:b/>
                <w:bCs/>
              </w:rPr>
              <w:t>Healthy Air</w:t>
            </w:r>
            <w:r>
              <w:t xml:space="preserve"> – calls for full compliance with WHO guidelines by 2030, reversing cuts to bus miles, a </w:t>
            </w:r>
            <w:r w:rsidR="00FD1A22">
              <w:t>27%</w:t>
            </w:r>
            <w:r>
              <w:t xml:space="preserve"> reduction in car vehicle kilometres, and a diesel-free London by 2030 (Policy 38).</w:t>
            </w:r>
          </w:p>
        </w:tc>
      </w:tr>
      <w:tr w:rsidR="00613C56" w14:paraId="21670FD0" w14:textId="77777777">
        <w:tc>
          <w:tcPr>
            <w:tcW w:w="0" w:type="auto"/>
            <w:vAlign w:val="center"/>
            <w:hideMark/>
          </w:tcPr>
          <w:p w14:paraId="2B38C56E" w14:textId="76D7521F" w:rsidR="00613C56" w:rsidRDefault="00613C56">
            <w:r>
              <w:rPr>
                <w:b/>
                <w:bCs/>
              </w:rPr>
              <w:t>Flood Risk</w:t>
            </w:r>
            <w:r>
              <w:t xml:space="preserve"> – requires development to aim for greenfield runoff rates </w:t>
            </w:r>
            <w:r w:rsidR="002E7AD0">
              <w:t xml:space="preserve">given London’s acute surface water flood risk </w:t>
            </w:r>
            <w:r>
              <w:t>(Policy GHR5).</w:t>
            </w:r>
          </w:p>
        </w:tc>
        <w:tc>
          <w:tcPr>
            <w:tcW w:w="0" w:type="auto"/>
            <w:vAlign w:val="center"/>
            <w:hideMark/>
          </w:tcPr>
          <w:p w14:paraId="3BFAD917" w14:textId="77777777" w:rsidR="00613C56" w:rsidRDefault="00613C56">
            <w:r>
              <w:rPr>
                <w:b/>
                <w:bCs/>
              </w:rPr>
              <w:t>Floodplains</w:t>
            </w:r>
            <w:r>
              <w:t xml:space="preserve"> – calls for special protection for floodplains and opposes development on Flood Zone 3b. Highlights the government's retreat on flood risk (Policy 39).</w:t>
            </w:r>
          </w:p>
        </w:tc>
      </w:tr>
    </w:tbl>
    <w:p w14:paraId="4915F38B" w14:textId="77777777" w:rsidR="0082770A" w:rsidRPr="0082770A" w:rsidRDefault="00000000" w:rsidP="0082770A">
      <w:pPr>
        <w:spacing w:before="480" w:after="480" w:line="420" w:lineRule="atLeast"/>
        <w:rPr>
          <w:rFonts w:ascii="Segoe UI" w:eastAsia="Times New Roman" w:hAnsi="Segoe UI" w:cs="Segoe UI"/>
          <w:color w:val="0F1115"/>
          <w:kern w:val="0"/>
          <w:lang w:eastAsia="en-GB"/>
          <w14:ligatures w14:val="none"/>
        </w:rPr>
      </w:pPr>
      <w:r>
        <w:rPr>
          <w:rFonts w:ascii="Segoe UI" w:eastAsia="Times New Roman" w:hAnsi="Segoe UI" w:cs="Segoe UI"/>
          <w:color w:val="0F1115"/>
          <w:kern w:val="0"/>
          <w:lang w:eastAsia="en-GB"/>
          <w14:ligatures w14:val="none"/>
        </w:rPr>
        <w:pict w14:anchorId="40216866">
          <v:rect id="_x0000_i1030" style="width:0;height:.75pt" o:hralign="center" o:hrstd="t" o:hr="t" fillcolor="#a0a0a0" stroked="f"/>
        </w:pict>
      </w:r>
    </w:p>
    <w:p w14:paraId="6A2CEA8B" w14:textId="77777777" w:rsidR="0082770A" w:rsidRPr="0082770A" w:rsidRDefault="0082770A" w:rsidP="0082770A">
      <w:pPr>
        <w:spacing w:before="480" w:after="240" w:line="450" w:lineRule="atLeast"/>
        <w:outlineLvl w:val="2"/>
        <w:rPr>
          <w:rFonts w:ascii="Segoe UI" w:eastAsia="Times New Roman" w:hAnsi="Segoe UI" w:cs="Segoe UI"/>
          <w:b/>
          <w:bCs/>
          <w:color w:val="0F1115"/>
          <w:kern w:val="0"/>
          <w:sz w:val="30"/>
          <w:szCs w:val="30"/>
          <w:lang w:eastAsia="en-GB"/>
          <w14:ligatures w14:val="none"/>
        </w:rPr>
      </w:pPr>
      <w:r w:rsidRPr="0082770A">
        <w:rPr>
          <w:rFonts w:ascii="Segoe UI" w:eastAsia="Times New Roman" w:hAnsi="Segoe UI" w:cs="Segoe UI"/>
          <w:b/>
          <w:bCs/>
          <w:color w:val="0F1115"/>
          <w:kern w:val="0"/>
          <w:sz w:val="30"/>
          <w:szCs w:val="30"/>
          <w:lang w:eastAsia="en-GB"/>
          <w14:ligatures w14:val="none"/>
        </w:rPr>
        <w:t>7. Transport</w:t>
      </w:r>
    </w:p>
    <w:tbl>
      <w:tblPr>
        <w:tblW w:w="5000" w:type="pct"/>
        <w:tblCellMar>
          <w:left w:w="0" w:type="dxa"/>
          <w:right w:w="0" w:type="dxa"/>
        </w:tblCellMar>
        <w:tblLook w:val="04A0" w:firstRow="1" w:lastRow="0" w:firstColumn="1" w:lastColumn="0" w:noHBand="0" w:noVBand="1"/>
      </w:tblPr>
      <w:tblGrid>
        <w:gridCol w:w="3999"/>
        <w:gridCol w:w="5027"/>
      </w:tblGrid>
      <w:tr w:rsidR="0064268E" w14:paraId="1D102C5A" w14:textId="77777777">
        <w:trPr>
          <w:tblHeader/>
        </w:trPr>
        <w:tc>
          <w:tcPr>
            <w:tcW w:w="0" w:type="auto"/>
            <w:vAlign w:val="center"/>
            <w:hideMark/>
          </w:tcPr>
          <w:p w14:paraId="0F89A005" w14:textId="77777777" w:rsidR="0064268E" w:rsidRDefault="0064268E">
            <w:pPr>
              <w:rPr>
                <w:lang w:eastAsia="en-GB"/>
              </w:rPr>
            </w:pPr>
            <w:r>
              <w:rPr>
                <w:b/>
                <w:bCs/>
              </w:rPr>
              <w:t>Draft London Plan (Mayor)</w:t>
            </w:r>
          </w:p>
        </w:tc>
        <w:tc>
          <w:tcPr>
            <w:tcW w:w="0" w:type="auto"/>
            <w:vAlign w:val="center"/>
            <w:hideMark/>
          </w:tcPr>
          <w:p w14:paraId="2DCC98D7" w14:textId="77777777" w:rsidR="0064268E" w:rsidRDefault="0064268E">
            <w:r>
              <w:rPr>
                <w:b/>
                <w:bCs/>
              </w:rPr>
              <w:t>Just Space Alternative Plan</w:t>
            </w:r>
          </w:p>
        </w:tc>
      </w:tr>
      <w:tr w:rsidR="0064268E" w14:paraId="54F9FD3C" w14:textId="77777777">
        <w:tc>
          <w:tcPr>
            <w:tcW w:w="0" w:type="auto"/>
            <w:vAlign w:val="center"/>
            <w:hideMark/>
          </w:tcPr>
          <w:p w14:paraId="10822DAC" w14:textId="77777777" w:rsidR="0064268E" w:rsidRDefault="0064268E">
            <w:r>
              <w:rPr>
                <w:b/>
                <w:bCs/>
              </w:rPr>
              <w:t>Sustainable Transport</w:t>
            </w:r>
            <w:r>
              <w:t xml:space="preserve"> – supports public transport improvements, active travel, and minimising car parking (Policy MBUL5, GHR11).</w:t>
            </w:r>
          </w:p>
        </w:tc>
        <w:tc>
          <w:tcPr>
            <w:tcW w:w="0" w:type="auto"/>
            <w:vAlign w:val="center"/>
            <w:hideMark/>
          </w:tcPr>
          <w:p w14:paraId="6D1EE311" w14:textId="77777777" w:rsidR="0064268E" w:rsidRDefault="0064268E">
            <w:r>
              <w:rPr>
                <w:b/>
                <w:bCs/>
              </w:rPr>
              <w:t>Zero-Carbon Streets</w:t>
            </w:r>
            <w:r>
              <w:t xml:space="preserve"> – calls for an inspiring vision for zero-carbon streets that prioritises walking, cycling, and public transport, and actively discourages private car use (Policy 45).</w:t>
            </w:r>
          </w:p>
        </w:tc>
      </w:tr>
      <w:tr w:rsidR="0064268E" w14:paraId="067ACDC3" w14:textId="77777777">
        <w:tc>
          <w:tcPr>
            <w:tcW w:w="0" w:type="auto"/>
            <w:vAlign w:val="center"/>
            <w:hideMark/>
          </w:tcPr>
          <w:p w14:paraId="1574BC98" w14:textId="235B14C1" w:rsidR="0064268E" w:rsidRDefault="009442A2" w:rsidP="009442A2">
            <w:r>
              <w:rPr>
                <w:b/>
                <w:bCs/>
              </w:rPr>
              <w:t>Bus priority</w:t>
            </w:r>
            <w:r>
              <w:t xml:space="preserve"> – the Plan </w:t>
            </w:r>
            <w:r w:rsidR="004D0032">
              <w:t xml:space="preserve">briefly </w:t>
            </w:r>
            <w:r w:rsidR="0059285D">
              <w:t>mentions bus</w:t>
            </w:r>
            <w:r>
              <w:t xml:space="preserve"> priority within its sustainable-transport framework (Policy MBUL5; see also Annex D and the glossary</w:t>
            </w:r>
            <w:r w:rsidR="008F7390">
              <w:t>).</w:t>
            </w:r>
          </w:p>
        </w:tc>
        <w:tc>
          <w:tcPr>
            <w:tcW w:w="0" w:type="auto"/>
            <w:vAlign w:val="center"/>
            <w:hideMark/>
          </w:tcPr>
          <w:p w14:paraId="3A73C5DF" w14:textId="2FF4F783" w:rsidR="0064268E" w:rsidRDefault="0064268E">
            <w:r>
              <w:rPr>
                <w:b/>
                <w:bCs/>
              </w:rPr>
              <w:t>Prioritise the Bus</w:t>
            </w:r>
            <w:r>
              <w:t xml:space="preserve"> – calls for immediate reversal of cuts to bus miles, protection and expansion of bus lanes, and a target to increase average bus speeds by 10% by 2030</w:t>
            </w:r>
            <w:r w:rsidR="008F7390">
              <w:t>, coun</w:t>
            </w:r>
            <w:r w:rsidR="00D268DE">
              <w:t>t</w:t>
            </w:r>
            <w:r w:rsidR="008F7390">
              <w:t xml:space="preserve">ering </w:t>
            </w:r>
            <w:r w:rsidR="00D268DE">
              <w:t>current slowing down of buses</w:t>
            </w:r>
            <w:r>
              <w:t xml:space="preserve"> (Policy 46).</w:t>
            </w:r>
          </w:p>
        </w:tc>
      </w:tr>
      <w:tr w:rsidR="0064268E" w14:paraId="0421E2F7" w14:textId="77777777">
        <w:tc>
          <w:tcPr>
            <w:tcW w:w="0" w:type="auto"/>
            <w:vAlign w:val="center"/>
            <w:hideMark/>
          </w:tcPr>
          <w:p w14:paraId="30346BD6" w14:textId="6DDE160F" w:rsidR="0064268E" w:rsidRDefault="0064268E">
            <w:r>
              <w:rPr>
                <w:b/>
                <w:bCs/>
              </w:rPr>
              <w:t>Road Pricing</w:t>
            </w:r>
            <w:r>
              <w:t xml:space="preserve"> – t</w:t>
            </w:r>
            <w:r w:rsidR="00D55DE2">
              <w:t xml:space="preserve">he Mayor is </w:t>
            </w:r>
            <w:r w:rsidR="00D55DE2" w:rsidRPr="00D55DE2">
              <w:t xml:space="preserve">committed to maintaining </w:t>
            </w:r>
            <w:r w:rsidR="00B64ECA" w:rsidRPr="00D55DE2">
              <w:t>the Ultra</w:t>
            </w:r>
            <w:r w:rsidR="00D55DE2" w:rsidRPr="00D55DE2">
              <w:t xml:space="preserve"> Low Emission Zone (ULEZ) and will not pursue a pay-per-mile road-user charging</w:t>
            </w:r>
            <w:r>
              <w:t>.</w:t>
            </w:r>
          </w:p>
        </w:tc>
        <w:tc>
          <w:tcPr>
            <w:tcW w:w="0" w:type="auto"/>
            <w:vAlign w:val="center"/>
            <w:hideMark/>
          </w:tcPr>
          <w:p w14:paraId="6619BAD8" w14:textId="4AECC1CF" w:rsidR="0064268E" w:rsidRDefault="0064268E">
            <w:r>
              <w:rPr>
                <w:b/>
                <w:bCs/>
              </w:rPr>
              <w:t xml:space="preserve">Fair </w:t>
            </w:r>
            <w:r w:rsidR="005A6789">
              <w:rPr>
                <w:b/>
                <w:bCs/>
              </w:rPr>
              <w:t xml:space="preserve">&amp; Equitable </w:t>
            </w:r>
            <w:r>
              <w:rPr>
                <w:b/>
                <w:bCs/>
              </w:rPr>
              <w:t>Road Pricing</w:t>
            </w:r>
            <w:r>
              <w:t xml:space="preserve"> – calls for a progressive, income-based road pricing scheme to ensure lower-income Londoners are not unfairly penalised (Policy 48).</w:t>
            </w:r>
          </w:p>
        </w:tc>
      </w:tr>
      <w:tr w:rsidR="0064268E" w14:paraId="0113F9DC" w14:textId="77777777">
        <w:tc>
          <w:tcPr>
            <w:tcW w:w="0" w:type="auto"/>
            <w:vAlign w:val="center"/>
            <w:hideMark/>
          </w:tcPr>
          <w:p w14:paraId="230CBFD3" w14:textId="77777777" w:rsidR="0064268E" w:rsidRDefault="0064268E">
            <w:r>
              <w:rPr>
                <w:b/>
                <w:bCs/>
              </w:rPr>
              <w:t>Aviation</w:t>
            </w:r>
            <w:r>
              <w:t xml:space="preserve"> – supports making the best use of existing airport capacity and opposes expansion unless </w:t>
            </w:r>
            <w:r>
              <w:lastRenderedPageBreak/>
              <w:t>environmental impacts are addressed (Policy GLE9).</w:t>
            </w:r>
          </w:p>
        </w:tc>
        <w:tc>
          <w:tcPr>
            <w:tcW w:w="0" w:type="auto"/>
            <w:vAlign w:val="center"/>
            <w:hideMark/>
          </w:tcPr>
          <w:p w14:paraId="3B27CDEE" w14:textId="77777777" w:rsidR="0064268E" w:rsidRDefault="0064268E">
            <w:r>
              <w:rPr>
                <w:b/>
                <w:bCs/>
              </w:rPr>
              <w:lastRenderedPageBreak/>
              <w:t>Oppose Aviation Expansion</w:t>
            </w:r>
            <w:r>
              <w:t xml:space="preserve"> – calls for formal and robust opposition to any expansion of </w:t>
            </w:r>
            <w:r>
              <w:lastRenderedPageBreak/>
              <w:t>Heathrow or London City Airport and identifies airport sites for repurposing (Policy 52).</w:t>
            </w:r>
          </w:p>
        </w:tc>
      </w:tr>
      <w:tr w:rsidR="0064268E" w14:paraId="4435F864" w14:textId="77777777">
        <w:tc>
          <w:tcPr>
            <w:tcW w:w="0" w:type="auto"/>
            <w:vAlign w:val="center"/>
            <w:hideMark/>
          </w:tcPr>
          <w:p w14:paraId="76650A97" w14:textId="1BFA631F" w:rsidR="0064268E" w:rsidRDefault="0064268E">
            <w:r>
              <w:rPr>
                <w:b/>
                <w:bCs/>
              </w:rPr>
              <w:lastRenderedPageBreak/>
              <w:t>Freight</w:t>
            </w:r>
            <w:r>
              <w:t xml:space="preserve"> – supports safeguarding wharves </w:t>
            </w:r>
            <w:r w:rsidR="00207B51">
              <w:t>(Policy GLE10)</w:t>
            </w:r>
            <w:r w:rsidR="00F46F36">
              <w:t xml:space="preserve"> </w:t>
            </w:r>
            <w:r>
              <w:t xml:space="preserve">and rail </w:t>
            </w:r>
            <w:r w:rsidR="00D67B9D">
              <w:t>freight but</w:t>
            </w:r>
            <w:r>
              <w:t xml:space="preserve"> allows for the release of some </w:t>
            </w:r>
            <w:r w:rsidR="00F46F36">
              <w:t xml:space="preserve">designated </w:t>
            </w:r>
            <w:r>
              <w:t>industrial land (Policy GLE</w:t>
            </w:r>
            <w:r w:rsidR="00F46F36">
              <w:t>2</w:t>
            </w:r>
            <w:r>
              <w:t>).</w:t>
            </w:r>
          </w:p>
        </w:tc>
        <w:tc>
          <w:tcPr>
            <w:tcW w:w="0" w:type="auto"/>
            <w:vAlign w:val="center"/>
            <w:hideMark/>
          </w:tcPr>
          <w:p w14:paraId="1D54405D" w14:textId="1C6CD1EF" w:rsidR="0064268E" w:rsidRDefault="0064268E">
            <w:r>
              <w:rPr>
                <w:b/>
                <w:bCs/>
              </w:rPr>
              <w:t>Safeguard Freight Land</w:t>
            </w:r>
            <w:r>
              <w:t xml:space="preserve"> –</w:t>
            </w:r>
            <w:r w:rsidR="00F46F36">
              <w:t>no net</w:t>
            </w:r>
            <w:r w:rsidR="00022972">
              <w:t xml:space="preserve"> </w:t>
            </w:r>
            <w:r>
              <w:t>loss</w:t>
            </w:r>
            <w:r w:rsidR="00E9622F">
              <w:t xml:space="preserve"> </w:t>
            </w:r>
            <w:r>
              <w:t xml:space="preserve"> </w:t>
            </w:r>
            <w:r w:rsidR="00E9622F">
              <w:t>of</w:t>
            </w:r>
            <w:r>
              <w:t xml:space="preserve">  Strategic Industrial Land (SIL) and Locally Significant Industrial Sites (LSIS) with </w:t>
            </w:r>
            <w:r w:rsidR="00E9622F">
              <w:t>existing or potential</w:t>
            </w:r>
            <w:r w:rsidR="004212E9">
              <w:t xml:space="preserve"> rail </w:t>
            </w:r>
            <w:r>
              <w:t xml:space="preserve">freight </w:t>
            </w:r>
            <w:r w:rsidR="004212E9">
              <w:t xml:space="preserve">or wharf </w:t>
            </w:r>
            <w:r>
              <w:t>access (Policy 51).</w:t>
            </w:r>
          </w:p>
        </w:tc>
      </w:tr>
    </w:tbl>
    <w:p w14:paraId="6156EDED" w14:textId="77777777" w:rsidR="0082770A" w:rsidRPr="007952E6" w:rsidRDefault="0082770A" w:rsidP="0082770A">
      <w:pPr>
        <w:spacing w:before="480" w:after="240" w:line="480" w:lineRule="atLeast"/>
        <w:outlineLvl w:val="1"/>
        <w:rPr>
          <w:rFonts w:ascii="Segoe UI" w:eastAsia="Times New Roman" w:hAnsi="Segoe UI" w:cs="Segoe UI"/>
          <w:b/>
          <w:bCs/>
          <w:color w:val="0F1115"/>
          <w:kern w:val="0"/>
          <w:sz w:val="22"/>
          <w:szCs w:val="22"/>
          <w:lang w:eastAsia="en-GB"/>
          <w14:ligatures w14:val="none"/>
        </w:rPr>
      </w:pPr>
      <w:r w:rsidRPr="007952E6">
        <w:rPr>
          <w:rFonts w:ascii="Segoe UI" w:eastAsia="Times New Roman" w:hAnsi="Segoe UI" w:cs="Segoe UI"/>
          <w:b/>
          <w:bCs/>
          <w:color w:val="0F1115"/>
          <w:kern w:val="0"/>
          <w:sz w:val="22"/>
          <w:szCs w:val="22"/>
          <w:lang w:eastAsia="en-GB"/>
          <w14:ligatures w14:val="none"/>
        </w:rPr>
        <w:t>Summary of Key Differences</w:t>
      </w:r>
    </w:p>
    <w:tbl>
      <w:tblPr>
        <w:tblW w:w="5000" w:type="pct"/>
        <w:tblCellMar>
          <w:left w:w="0" w:type="dxa"/>
          <w:right w:w="0" w:type="dxa"/>
        </w:tblCellMar>
        <w:tblLook w:val="04A0" w:firstRow="1" w:lastRow="0" w:firstColumn="1" w:lastColumn="0" w:noHBand="0" w:noVBand="1"/>
      </w:tblPr>
      <w:tblGrid>
        <w:gridCol w:w="1423"/>
        <w:gridCol w:w="3862"/>
        <w:gridCol w:w="3741"/>
      </w:tblGrid>
      <w:tr w:rsidR="003B303A" w:rsidRPr="007952E6" w14:paraId="0D9344CD" w14:textId="77777777">
        <w:trPr>
          <w:tblHeader/>
        </w:trPr>
        <w:tc>
          <w:tcPr>
            <w:tcW w:w="0" w:type="auto"/>
            <w:vAlign w:val="center"/>
            <w:hideMark/>
          </w:tcPr>
          <w:p w14:paraId="36EA751A" w14:textId="77777777" w:rsidR="003B303A" w:rsidRPr="007952E6" w:rsidRDefault="003B303A">
            <w:pPr>
              <w:rPr>
                <w:sz w:val="22"/>
                <w:szCs w:val="22"/>
                <w:lang w:eastAsia="en-GB"/>
              </w:rPr>
            </w:pPr>
            <w:r w:rsidRPr="007952E6">
              <w:rPr>
                <w:b/>
                <w:bCs/>
                <w:sz w:val="22"/>
                <w:szCs w:val="22"/>
              </w:rPr>
              <w:t>Theme</w:t>
            </w:r>
          </w:p>
        </w:tc>
        <w:tc>
          <w:tcPr>
            <w:tcW w:w="0" w:type="auto"/>
            <w:vAlign w:val="center"/>
            <w:hideMark/>
          </w:tcPr>
          <w:p w14:paraId="5B9B3DCF" w14:textId="77777777" w:rsidR="003B303A" w:rsidRPr="007952E6" w:rsidRDefault="003B303A">
            <w:pPr>
              <w:rPr>
                <w:sz w:val="22"/>
                <w:szCs w:val="22"/>
              </w:rPr>
            </w:pPr>
            <w:r w:rsidRPr="007952E6">
              <w:rPr>
                <w:b/>
                <w:bCs/>
                <w:sz w:val="22"/>
                <w:szCs w:val="22"/>
              </w:rPr>
              <w:t>Draft London Plan 2026</w:t>
            </w:r>
          </w:p>
        </w:tc>
        <w:tc>
          <w:tcPr>
            <w:tcW w:w="0" w:type="auto"/>
            <w:vAlign w:val="center"/>
            <w:hideMark/>
          </w:tcPr>
          <w:p w14:paraId="6D9F2675" w14:textId="77777777" w:rsidR="003B303A" w:rsidRPr="007952E6" w:rsidRDefault="003B303A">
            <w:pPr>
              <w:rPr>
                <w:sz w:val="22"/>
                <w:szCs w:val="22"/>
              </w:rPr>
            </w:pPr>
            <w:r w:rsidRPr="007952E6">
              <w:rPr>
                <w:b/>
                <w:bCs/>
                <w:sz w:val="22"/>
                <w:szCs w:val="22"/>
              </w:rPr>
              <w:t>Just Space Alternative Plan</w:t>
            </w:r>
          </w:p>
        </w:tc>
      </w:tr>
      <w:tr w:rsidR="003B303A" w:rsidRPr="007952E6" w14:paraId="7677DA46" w14:textId="77777777">
        <w:tc>
          <w:tcPr>
            <w:tcW w:w="0" w:type="auto"/>
            <w:vAlign w:val="center"/>
            <w:hideMark/>
          </w:tcPr>
          <w:p w14:paraId="65C32E55" w14:textId="77777777" w:rsidR="003B303A" w:rsidRPr="007952E6" w:rsidRDefault="003B303A">
            <w:pPr>
              <w:rPr>
                <w:sz w:val="22"/>
                <w:szCs w:val="22"/>
              </w:rPr>
            </w:pPr>
            <w:r w:rsidRPr="007952E6">
              <w:rPr>
                <w:b/>
                <w:bCs/>
                <w:sz w:val="22"/>
                <w:szCs w:val="22"/>
              </w:rPr>
              <w:t>Philosophy</w:t>
            </w:r>
          </w:p>
        </w:tc>
        <w:tc>
          <w:tcPr>
            <w:tcW w:w="0" w:type="auto"/>
            <w:vAlign w:val="center"/>
            <w:hideMark/>
          </w:tcPr>
          <w:p w14:paraId="0BD5661F" w14:textId="77777777" w:rsidR="003B303A" w:rsidRPr="007952E6" w:rsidRDefault="003B303A">
            <w:pPr>
              <w:rPr>
                <w:sz w:val="22"/>
                <w:szCs w:val="22"/>
              </w:rPr>
            </w:pPr>
            <w:r w:rsidRPr="007952E6">
              <w:rPr>
                <w:sz w:val="22"/>
                <w:szCs w:val="22"/>
              </w:rPr>
              <w:t>Good Growth (economic productivity, social inclusion, environmental sustainability)</w:t>
            </w:r>
          </w:p>
        </w:tc>
        <w:tc>
          <w:tcPr>
            <w:tcW w:w="0" w:type="auto"/>
            <w:vAlign w:val="center"/>
            <w:hideMark/>
          </w:tcPr>
          <w:p w14:paraId="14BB74AD" w14:textId="2C7ACF4D" w:rsidR="003B303A" w:rsidRPr="007952E6" w:rsidRDefault="003B303A">
            <w:pPr>
              <w:rPr>
                <w:sz w:val="22"/>
                <w:szCs w:val="22"/>
              </w:rPr>
            </w:pPr>
            <w:r w:rsidRPr="007952E6">
              <w:rPr>
                <w:sz w:val="22"/>
                <w:szCs w:val="22"/>
              </w:rPr>
              <w:t xml:space="preserve">Caring City (people, community, planet, </w:t>
            </w:r>
            <w:r w:rsidR="000C77AF" w:rsidRPr="007952E6">
              <w:rPr>
                <w:sz w:val="22"/>
                <w:szCs w:val="22"/>
              </w:rPr>
              <w:t xml:space="preserve">sustainable and </w:t>
            </w:r>
            <w:r w:rsidR="00D20AC5" w:rsidRPr="007952E6">
              <w:rPr>
                <w:sz w:val="22"/>
                <w:szCs w:val="22"/>
              </w:rPr>
              <w:t xml:space="preserve">fair </w:t>
            </w:r>
            <w:r w:rsidRPr="007952E6">
              <w:rPr>
                <w:sz w:val="22"/>
                <w:szCs w:val="22"/>
              </w:rPr>
              <w:t>growth)</w:t>
            </w:r>
          </w:p>
        </w:tc>
      </w:tr>
      <w:tr w:rsidR="003B303A" w:rsidRPr="007952E6" w14:paraId="0858C457" w14:textId="77777777">
        <w:tc>
          <w:tcPr>
            <w:tcW w:w="0" w:type="auto"/>
            <w:vAlign w:val="center"/>
            <w:hideMark/>
          </w:tcPr>
          <w:p w14:paraId="6EFDAFEE" w14:textId="77777777" w:rsidR="003B303A" w:rsidRPr="007952E6" w:rsidRDefault="003B303A">
            <w:pPr>
              <w:rPr>
                <w:sz w:val="22"/>
                <w:szCs w:val="22"/>
              </w:rPr>
            </w:pPr>
            <w:r w:rsidRPr="007952E6">
              <w:rPr>
                <w:b/>
                <w:bCs/>
                <w:sz w:val="22"/>
                <w:szCs w:val="22"/>
              </w:rPr>
              <w:t>Housing</w:t>
            </w:r>
          </w:p>
        </w:tc>
        <w:tc>
          <w:tcPr>
            <w:tcW w:w="0" w:type="auto"/>
            <w:vAlign w:val="center"/>
            <w:hideMark/>
          </w:tcPr>
          <w:p w14:paraId="15532B15" w14:textId="77777777" w:rsidR="003B303A" w:rsidRPr="007952E6" w:rsidRDefault="003B303A">
            <w:pPr>
              <w:rPr>
                <w:sz w:val="22"/>
                <w:szCs w:val="22"/>
              </w:rPr>
            </w:pPr>
            <w:r w:rsidRPr="007952E6">
              <w:rPr>
                <w:sz w:val="22"/>
                <w:szCs w:val="22"/>
              </w:rPr>
              <w:t>558,000 homes over 10 years, market-led, variable "affordable"</w:t>
            </w:r>
          </w:p>
        </w:tc>
        <w:tc>
          <w:tcPr>
            <w:tcW w:w="0" w:type="auto"/>
            <w:vAlign w:val="center"/>
            <w:hideMark/>
          </w:tcPr>
          <w:p w14:paraId="32A89494" w14:textId="77777777" w:rsidR="003B303A" w:rsidRPr="007952E6" w:rsidRDefault="003B303A">
            <w:pPr>
              <w:rPr>
                <w:sz w:val="22"/>
                <w:szCs w:val="22"/>
              </w:rPr>
            </w:pPr>
            <w:r w:rsidRPr="007952E6">
              <w:rPr>
                <w:sz w:val="22"/>
                <w:szCs w:val="22"/>
              </w:rPr>
              <w:t>Social rent as infrastructure, needs-based, non-negotiable social rent</w:t>
            </w:r>
          </w:p>
        </w:tc>
      </w:tr>
      <w:tr w:rsidR="003B303A" w:rsidRPr="007952E6" w14:paraId="70AC4A72" w14:textId="77777777">
        <w:tc>
          <w:tcPr>
            <w:tcW w:w="0" w:type="auto"/>
            <w:vAlign w:val="center"/>
            <w:hideMark/>
          </w:tcPr>
          <w:p w14:paraId="5070F786" w14:textId="77777777" w:rsidR="003B303A" w:rsidRPr="007952E6" w:rsidRDefault="003B303A">
            <w:pPr>
              <w:rPr>
                <w:sz w:val="22"/>
                <w:szCs w:val="22"/>
              </w:rPr>
            </w:pPr>
            <w:r w:rsidRPr="007952E6">
              <w:rPr>
                <w:b/>
                <w:bCs/>
                <w:sz w:val="22"/>
                <w:szCs w:val="22"/>
              </w:rPr>
              <w:t>Density &amp; Height</w:t>
            </w:r>
          </w:p>
        </w:tc>
        <w:tc>
          <w:tcPr>
            <w:tcW w:w="0" w:type="auto"/>
            <w:vAlign w:val="center"/>
            <w:hideMark/>
          </w:tcPr>
          <w:p w14:paraId="18D4B92E" w14:textId="31200781" w:rsidR="003B303A" w:rsidRPr="007952E6" w:rsidRDefault="003B303A">
            <w:pPr>
              <w:rPr>
                <w:sz w:val="22"/>
                <w:szCs w:val="22"/>
              </w:rPr>
            </w:pPr>
            <w:r w:rsidRPr="007952E6">
              <w:rPr>
                <w:sz w:val="22"/>
                <w:szCs w:val="22"/>
              </w:rPr>
              <w:t>Minimum densities, pro</w:t>
            </w:r>
            <w:r w:rsidR="0001716A" w:rsidRPr="007952E6">
              <w:rPr>
                <w:sz w:val="22"/>
                <w:szCs w:val="22"/>
              </w:rPr>
              <w:t>vides for</w:t>
            </w:r>
            <w:r w:rsidRPr="007952E6">
              <w:rPr>
                <w:sz w:val="22"/>
                <w:szCs w:val="22"/>
              </w:rPr>
              <w:t xml:space="preserve"> </w:t>
            </w:r>
            <w:r w:rsidR="006F64FD" w:rsidRPr="007952E6">
              <w:rPr>
                <w:sz w:val="22"/>
                <w:szCs w:val="22"/>
              </w:rPr>
              <w:t xml:space="preserve">mid-rise and </w:t>
            </w:r>
            <w:r w:rsidR="00BC1CEB" w:rsidRPr="007952E6">
              <w:rPr>
                <w:sz w:val="22"/>
                <w:szCs w:val="22"/>
              </w:rPr>
              <w:t xml:space="preserve">metropolitan scaled </w:t>
            </w:r>
            <w:r w:rsidRPr="007952E6">
              <w:rPr>
                <w:sz w:val="22"/>
                <w:szCs w:val="22"/>
              </w:rPr>
              <w:t xml:space="preserve">tall buildings </w:t>
            </w:r>
          </w:p>
        </w:tc>
        <w:tc>
          <w:tcPr>
            <w:tcW w:w="0" w:type="auto"/>
            <w:vAlign w:val="center"/>
            <w:hideMark/>
          </w:tcPr>
          <w:p w14:paraId="33D0E9F6" w14:textId="7763EB9E" w:rsidR="003B303A" w:rsidRPr="007952E6" w:rsidRDefault="0021756B">
            <w:pPr>
              <w:rPr>
                <w:sz w:val="22"/>
                <w:szCs w:val="22"/>
              </w:rPr>
            </w:pPr>
            <w:r w:rsidRPr="007952E6">
              <w:rPr>
                <w:sz w:val="22"/>
                <w:szCs w:val="22"/>
              </w:rPr>
              <w:t xml:space="preserve">Maximum appropriate </w:t>
            </w:r>
            <w:r w:rsidR="003B303A" w:rsidRPr="007952E6">
              <w:rPr>
                <w:sz w:val="22"/>
                <w:szCs w:val="22"/>
              </w:rPr>
              <w:t>densities, limit tall buildings, mid-rise preferred</w:t>
            </w:r>
          </w:p>
        </w:tc>
      </w:tr>
      <w:tr w:rsidR="003B303A" w:rsidRPr="007952E6" w14:paraId="1EBE7BD4" w14:textId="77777777">
        <w:tc>
          <w:tcPr>
            <w:tcW w:w="0" w:type="auto"/>
            <w:vAlign w:val="center"/>
            <w:hideMark/>
          </w:tcPr>
          <w:p w14:paraId="5E4A9D72" w14:textId="77777777" w:rsidR="003B303A" w:rsidRPr="007952E6" w:rsidRDefault="003B303A">
            <w:pPr>
              <w:rPr>
                <w:sz w:val="22"/>
                <w:szCs w:val="22"/>
              </w:rPr>
            </w:pPr>
            <w:r w:rsidRPr="007952E6">
              <w:rPr>
                <w:b/>
                <w:bCs/>
                <w:sz w:val="22"/>
                <w:szCs w:val="22"/>
              </w:rPr>
              <w:t>Community</w:t>
            </w:r>
          </w:p>
        </w:tc>
        <w:tc>
          <w:tcPr>
            <w:tcW w:w="0" w:type="auto"/>
            <w:vAlign w:val="center"/>
            <w:hideMark/>
          </w:tcPr>
          <w:p w14:paraId="6F870C2E" w14:textId="77777777" w:rsidR="003B303A" w:rsidRPr="007952E6" w:rsidRDefault="003B303A">
            <w:pPr>
              <w:rPr>
                <w:sz w:val="22"/>
                <w:szCs w:val="22"/>
              </w:rPr>
            </w:pPr>
            <w:r w:rsidRPr="007952E6">
              <w:rPr>
                <w:sz w:val="22"/>
                <w:szCs w:val="22"/>
              </w:rPr>
              <w:t>Top-down, statutory consultation</w:t>
            </w:r>
          </w:p>
        </w:tc>
        <w:tc>
          <w:tcPr>
            <w:tcW w:w="0" w:type="auto"/>
            <w:vAlign w:val="center"/>
            <w:hideMark/>
          </w:tcPr>
          <w:p w14:paraId="2AEB44E3" w14:textId="77777777" w:rsidR="003B303A" w:rsidRPr="007952E6" w:rsidRDefault="003B303A">
            <w:pPr>
              <w:rPr>
                <w:sz w:val="22"/>
                <w:szCs w:val="22"/>
              </w:rPr>
            </w:pPr>
            <w:r w:rsidRPr="007952E6">
              <w:rPr>
                <w:sz w:val="22"/>
                <w:szCs w:val="22"/>
              </w:rPr>
              <w:t>Co-production, community power, democratic reform</w:t>
            </w:r>
          </w:p>
        </w:tc>
      </w:tr>
      <w:tr w:rsidR="003B303A" w:rsidRPr="007952E6" w14:paraId="630ABFAD" w14:textId="77777777">
        <w:tc>
          <w:tcPr>
            <w:tcW w:w="0" w:type="auto"/>
            <w:vAlign w:val="center"/>
            <w:hideMark/>
          </w:tcPr>
          <w:p w14:paraId="0CA132CF" w14:textId="77777777" w:rsidR="003B303A" w:rsidRPr="007952E6" w:rsidRDefault="003B303A">
            <w:pPr>
              <w:rPr>
                <w:sz w:val="22"/>
                <w:szCs w:val="22"/>
              </w:rPr>
            </w:pPr>
            <w:r w:rsidRPr="007952E6">
              <w:rPr>
                <w:b/>
                <w:bCs/>
                <w:sz w:val="22"/>
                <w:szCs w:val="22"/>
              </w:rPr>
              <w:t>Economy</w:t>
            </w:r>
          </w:p>
        </w:tc>
        <w:tc>
          <w:tcPr>
            <w:tcW w:w="0" w:type="auto"/>
            <w:vAlign w:val="center"/>
            <w:hideMark/>
          </w:tcPr>
          <w:p w14:paraId="1F26EAEB" w14:textId="77777777" w:rsidR="003B303A" w:rsidRPr="007952E6" w:rsidRDefault="003B303A">
            <w:pPr>
              <w:rPr>
                <w:sz w:val="22"/>
                <w:szCs w:val="22"/>
              </w:rPr>
            </w:pPr>
            <w:r w:rsidRPr="007952E6">
              <w:rPr>
                <w:sz w:val="22"/>
                <w:szCs w:val="22"/>
              </w:rPr>
              <w:t>Financial services, growth sectors, property-led</w:t>
            </w:r>
          </w:p>
        </w:tc>
        <w:tc>
          <w:tcPr>
            <w:tcW w:w="0" w:type="auto"/>
            <w:vAlign w:val="center"/>
            <w:hideMark/>
          </w:tcPr>
          <w:p w14:paraId="330F0A4B" w14:textId="77777777" w:rsidR="003B303A" w:rsidRPr="007952E6" w:rsidRDefault="003B303A">
            <w:pPr>
              <w:rPr>
                <w:sz w:val="22"/>
                <w:szCs w:val="22"/>
              </w:rPr>
            </w:pPr>
            <w:r w:rsidRPr="007952E6">
              <w:rPr>
                <w:sz w:val="22"/>
                <w:szCs w:val="22"/>
              </w:rPr>
              <w:t>Local economy, small business, social value, no net loss of industrial land</w:t>
            </w:r>
          </w:p>
        </w:tc>
      </w:tr>
      <w:tr w:rsidR="003B303A" w:rsidRPr="007952E6" w14:paraId="51974C21" w14:textId="77777777">
        <w:tc>
          <w:tcPr>
            <w:tcW w:w="0" w:type="auto"/>
            <w:vAlign w:val="center"/>
            <w:hideMark/>
          </w:tcPr>
          <w:p w14:paraId="2E684749" w14:textId="77777777" w:rsidR="003B303A" w:rsidRPr="007952E6" w:rsidRDefault="003B303A">
            <w:pPr>
              <w:rPr>
                <w:sz w:val="22"/>
                <w:szCs w:val="22"/>
              </w:rPr>
            </w:pPr>
            <w:r w:rsidRPr="007952E6">
              <w:rPr>
                <w:b/>
                <w:bCs/>
                <w:sz w:val="22"/>
                <w:szCs w:val="22"/>
              </w:rPr>
              <w:t>Environment</w:t>
            </w:r>
          </w:p>
        </w:tc>
        <w:tc>
          <w:tcPr>
            <w:tcW w:w="0" w:type="auto"/>
            <w:vAlign w:val="center"/>
            <w:hideMark/>
          </w:tcPr>
          <w:p w14:paraId="71838386" w14:textId="77777777" w:rsidR="003B303A" w:rsidRPr="007952E6" w:rsidRDefault="003B303A">
            <w:pPr>
              <w:rPr>
                <w:sz w:val="22"/>
                <w:szCs w:val="22"/>
              </w:rPr>
            </w:pPr>
            <w:r w:rsidRPr="007952E6">
              <w:rPr>
                <w:sz w:val="22"/>
                <w:szCs w:val="22"/>
              </w:rPr>
              <w:t>Net zero for operational carbon, weak on embodied carbon</w:t>
            </w:r>
          </w:p>
        </w:tc>
        <w:tc>
          <w:tcPr>
            <w:tcW w:w="0" w:type="auto"/>
            <w:vAlign w:val="center"/>
            <w:hideMark/>
          </w:tcPr>
          <w:p w14:paraId="5D599ADF" w14:textId="77777777" w:rsidR="003B303A" w:rsidRPr="007952E6" w:rsidRDefault="003B303A">
            <w:pPr>
              <w:rPr>
                <w:sz w:val="22"/>
                <w:szCs w:val="22"/>
              </w:rPr>
            </w:pPr>
            <w:r w:rsidRPr="007952E6">
              <w:rPr>
                <w:sz w:val="22"/>
                <w:szCs w:val="22"/>
              </w:rPr>
              <w:t>Strong on embodied carbon, retrofit-first, full BNG, protect floodplains</w:t>
            </w:r>
          </w:p>
        </w:tc>
      </w:tr>
      <w:tr w:rsidR="003B303A" w:rsidRPr="007952E6" w14:paraId="2688B979" w14:textId="77777777">
        <w:tc>
          <w:tcPr>
            <w:tcW w:w="0" w:type="auto"/>
            <w:vAlign w:val="center"/>
            <w:hideMark/>
          </w:tcPr>
          <w:p w14:paraId="34507624" w14:textId="77777777" w:rsidR="003B303A" w:rsidRPr="007952E6" w:rsidRDefault="003B303A">
            <w:pPr>
              <w:rPr>
                <w:sz w:val="22"/>
                <w:szCs w:val="22"/>
              </w:rPr>
            </w:pPr>
            <w:r w:rsidRPr="007952E6">
              <w:rPr>
                <w:b/>
                <w:bCs/>
                <w:sz w:val="22"/>
                <w:szCs w:val="22"/>
              </w:rPr>
              <w:t>Transport</w:t>
            </w:r>
          </w:p>
        </w:tc>
        <w:tc>
          <w:tcPr>
            <w:tcW w:w="0" w:type="auto"/>
            <w:vAlign w:val="center"/>
            <w:hideMark/>
          </w:tcPr>
          <w:p w14:paraId="0DD108FD" w14:textId="02F44B20" w:rsidR="003B303A" w:rsidRPr="007952E6" w:rsidRDefault="003B303A">
            <w:pPr>
              <w:rPr>
                <w:sz w:val="22"/>
                <w:szCs w:val="22"/>
              </w:rPr>
            </w:pPr>
            <w:r w:rsidRPr="007952E6">
              <w:rPr>
                <w:sz w:val="22"/>
                <w:szCs w:val="22"/>
              </w:rPr>
              <w:t>Sustainable transport</w:t>
            </w:r>
            <w:r w:rsidR="00A7042F" w:rsidRPr="007952E6">
              <w:rPr>
                <w:sz w:val="22"/>
                <w:szCs w:val="22"/>
              </w:rPr>
              <w:t xml:space="preserve"> </w:t>
            </w:r>
            <w:r w:rsidR="00874EAB" w:rsidRPr="007952E6">
              <w:rPr>
                <w:sz w:val="22"/>
                <w:szCs w:val="22"/>
              </w:rPr>
              <w:t>with slow</w:t>
            </w:r>
            <w:r w:rsidR="00F73483" w:rsidRPr="007952E6">
              <w:rPr>
                <w:sz w:val="22"/>
                <w:szCs w:val="22"/>
              </w:rPr>
              <w:t xml:space="preserve"> progress in reducing car dominance in outer London</w:t>
            </w:r>
          </w:p>
        </w:tc>
        <w:tc>
          <w:tcPr>
            <w:tcW w:w="0" w:type="auto"/>
            <w:vAlign w:val="center"/>
            <w:hideMark/>
          </w:tcPr>
          <w:p w14:paraId="27529772" w14:textId="77777777" w:rsidR="003B303A" w:rsidRPr="007952E6" w:rsidRDefault="003B303A">
            <w:pPr>
              <w:rPr>
                <w:sz w:val="22"/>
                <w:szCs w:val="22"/>
              </w:rPr>
            </w:pPr>
            <w:r w:rsidRPr="007952E6">
              <w:rPr>
                <w:sz w:val="22"/>
                <w:szCs w:val="22"/>
              </w:rPr>
              <w:t>Zero-carbon streets, prioritise buses, fair road pricing, oppose aviation expansion</w:t>
            </w:r>
          </w:p>
        </w:tc>
      </w:tr>
    </w:tbl>
    <w:p w14:paraId="0B258DA8" w14:textId="77777777" w:rsidR="009442A2" w:rsidRPr="007952E6" w:rsidRDefault="009442A2">
      <w:pPr>
        <w:pStyle w:val="Heading2"/>
        <w:rPr>
          <w:rFonts w:asciiTheme="minorHAnsi" w:hAnsiTheme="minorHAnsi" w:cstheme="minorBidi"/>
          <w:b/>
          <w:bCs/>
          <w:sz w:val="22"/>
          <w:szCs w:val="22"/>
          <w:lang w:eastAsia="en-GB"/>
        </w:rPr>
      </w:pPr>
      <w:r w:rsidRPr="007952E6">
        <w:rPr>
          <w:rFonts w:asciiTheme="minorHAnsi" w:hAnsiTheme="minorHAnsi" w:cstheme="minorBidi"/>
          <w:b/>
          <w:bCs/>
          <w:sz w:val="22"/>
          <w:szCs w:val="22"/>
        </w:rPr>
        <w:t>References</w:t>
      </w:r>
    </w:p>
    <w:p w14:paraId="03982EBD" w14:textId="3C7AC59F" w:rsidR="009442A2" w:rsidRPr="007952E6" w:rsidRDefault="009442A2">
      <w:pPr>
        <w:rPr>
          <w:sz w:val="22"/>
          <w:szCs w:val="22"/>
          <w:lang w:eastAsia="en-GB"/>
        </w:rPr>
      </w:pPr>
      <w:r w:rsidRPr="007952E6">
        <w:rPr>
          <w:b/>
          <w:bCs/>
          <w:sz w:val="22"/>
          <w:szCs w:val="22"/>
        </w:rPr>
        <w:t>Mayor of London.</w:t>
      </w:r>
      <w:r w:rsidRPr="007952E6">
        <w:rPr>
          <w:sz w:val="22"/>
          <w:szCs w:val="22"/>
        </w:rPr>
        <w:t xml:space="preserve"> </w:t>
      </w:r>
      <w:hyperlink r:id="rId5" w:history="1">
        <w:r w:rsidRPr="007952E6">
          <w:rPr>
            <w:rStyle w:val="Hyperlink"/>
            <w:i/>
            <w:iCs/>
            <w:sz w:val="22"/>
            <w:szCs w:val="22"/>
          </w:rPr>
          <w:t>Draft London Plan 2026</w:t>
        </w:r>
      </w:hyperlink>
      <w:r w:rsidRPr="007952E6">
        <w:rPr>
          <w:sz w:val="22"/>
          <w:szCs w:val="22"/>
        </w:rPr>
        <w:t>. Originally published July 2026; consolidated version updated 11 September 2026.</w:t>
      </w:r>
    </w:p>
    <w:p w14:paraId="515DC690" w14:textId="77777777" w:rsidR="009442A2" w:rsidRPr="007952E6" w:rsidRDefault="009442A2">
      <w:pPr>
        <w:rPr>
          <w:sz w:val="22"/>
          <w:szCs w:val="22"/>
          <w:lang w:eastAsia="en-GB"/>
        </w:rPr>
      </w:pPr>
      <w:r w:rsidRPr="007952E6">
        <w:rPr>
          <w:b/>
          <w:bCs/>
          <w:sz w:val="22"/>
          <w:szCs w:val="22"/>
        </w:rPr>
        <w:t>Just Space.</w:t>
      </w:r>
      <w:r w:rsidRPr="007952E6">
        <w:rPr>
          <w:sz w:val="22"/>
          <w:szCs w:val="22"/>
        </w:rPr>
        <w:t xml:space="preserve"> </w:t>
      </w:r>
      <w:hyperlink r:id="rId6" w:history="1">
        <w:r w:rsidRPr="007952E6">
          <w:rPr>
            <w:rStyle w:val="Hyperlink"/>
            <w:i/>
            <w:iCs/>
            <w:sz w:val="22"/>
            <w:szCs w:val="22"/>
          </w:rPr>
          <w:t>Alternative Plan for London as a Caring City</w:t>
        </w:r>
      </w:hyperlink>
      <w:r w:rsidRPr="007952E6">
        <w:rPr>
          <w:sz w:val="22"/>
          <w:szCs w:val="22"/>
        </w:rPr>
        <w:t>. 2026. Policy references in the right-hand column are to the numbered policies and parts of this publication.</w:t>
      </w:r>
    </w:p>
    <w:p w14:paraId="6A5631C4" w14:textId="77777777" w:rsidR="0002476F" w:rsidRPr="007952E6" w:rsidRDefault="0002476F">
      <w:pPr>
        <w:rPr>
          <w:sz w:val="22"/>
          <w:szCs w:val="22"/>
        </w:rPr>
      </w:pPr>
    </w:p>
    <w:sectPr w:rsidR="0002476F" w:rsidRPr="007952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0A"/>
    <w:rsid w:val="0001716A"/>
    <w:rsid w:val="00022972"/>
    <w:rsid w:val="0002476F"/>
    <w:rsid w:val="000571BD"/>
    <w:rsid w:val="00064F1E"/>
    <w:rsid w:val="0008058F"/>
    <w:rsid w:val="000A61F1"/>
    <w:rsid w:val="000C2933"/>
    <w:rsid w:val="000C77AF"/>
    <w:rsid w:val="000D352A"/>
    <w:rsid w:val="000E376C"/>
    <w:rsid w:val="0012760B"/>
    <w:rsid w:val="00146872"/>
    <w:rsid w:val="0015405F"/>
    <w:rsid w:val="001565BC"/>
    <w:rsid w:val="001752AB"/>
    <w:rsid w:val="00183158"/>
    <w:rsid w:val="001A1F5F"/>
    <w:rsid w:val="001D5374"/>
    <w:rsid w:val="001D5B71"/>
    <w:rsid w:val="001E7D20"/>
    <w:rsid w:val="001F122D"/>
    <w:rsid w:val="00207B51"/>
    <w:rsid w:val="002164D3"/>
    <w:rsid w:val="0021756B"/>
    <w:rsid w:val="00217F26"/>
    <w:rsid w:val="002207B5"/>
    <w:rsid w:val="00246091"/>
    <w:rsid w:val="0025211D"/>
    <w:rsid w:val="00252318"/>
    <w:rsid w:val="00277F10"/>
    <w:rsid w:val="00281BA2"/>
    <w:rsid w:val="002833DB"/>
    <w:rsid w:val="002842E3"/>
    <w:rsid w:val="0029746C"/>
    <w:rsid w:val="002A2655"/>
    <w:rsid w:val="002E7AD0"/>
    <w:rsid w:val="00304B43"/>
    <w:rsid w:val="00342381"/>
    <w:rsid w:val="00344E29"/>
    <w:rsid w:val="00360FB4"/>
    <w:rsid w:val="003A2C46"/>
    <w:rsid w:val="003B303A"/>
    <w:rsid w:val="003B5C8C"/>
    <w:rsid w:val="003B6992"/>
    <w:rsid w:val="003D49EE"/>
    <w:rsid w:val="003E2C9D"/>
    <w:rsid w:val="003F237C"/>
    <w:rsid w:val="004212E9"/>
    <w:rsid w:val="00433533"/>
    <w:rsid w:val="00435024"/>
    <w:rsid w:val="0043765F"/>
    <w:rsid w:val="00485BED"/>
    <w:rsid w:val="004A1F80"/>
    <w:rsid w:val="004D0032"/>
    <w:rsid w:val="004D2DD1"/>
    <w:rsid w:val="004D2EC8"/>
    <w:rsid w:val="0053540A"/>
    <w:rsid w:val="005720CC"/>
    <w:rsid w:val="00574080"/>
    <w:rsid w:val="0059285D"/>
    <w:rsid w:val="005A6789"/>
    <w:rsid w:val="005B5C96"/>
    <w:rsid w:val="005F480C"/>
    <w:rsid w:val="00613C56"/>
    <w:rsid w:val="006323C3"/>
    <w:rsid w:val="0064268E"/>
    <w:rsid w:val="00644A61"/>
    <w:rsid w:val="0065291C"/>
    <w:rsid w:val="0065367F"/>
    <w:rsid w:val="00665BC5"/>
    <w:rsid w:val="00685CCF"/>
    <w:rsid w:val="00690AEE"/>
    <w:rsid w:val="006B2A76"/>
    <w:rsid w:val="006C5906"/>
    <w:rsid w:val="006C6973"/>
    <w:rsid w:val="006D5A88"/>
    <w:rsid w:val="006E2566"/>
    <w:rsid w:val="006F155D"/>
    <w:rsid w:val="006F64FD"/>
    <w:rsid w:val="007071E2"/>
    <w:rsid w:val="0072265B"/>
    <w:rsid w:val="007345D6"/>
    <w:rsid w:val="00740B44"/>
    <w:rsid w:val="0074776F"/>
    <w:rsid w:val="00752305"/>
    <w:rsid w:val="007742E5"/>
    <w:rsid w:val="00791B04"/>
    <w:rsid w:val="007952E6"/>
    <w:rsid w:val="007D79F7"/>
    <w:rsid w:val="008226D7"/>
    <w:rsid w:val="0082770A"/>
    <w:rsid w:val="008325AD"/>
    <w:rsid w:val="00844966"/>
    <w:rsid w:val="00853FEB"/>
    <w:rsid w:val="00854DAA"/>
    <w:rsid w:val="008630E8"/>
    <w:rsid w:val="00874EAB"/>
    <w:rsid w:val="008D4E2C"/>
    <w:rsid w:val="008D61FA"/>
    <w:rsid w:val="008F7390"/>
    <w:rsid w:val="00927884"/>
    <w:rsid w:val="009442A2"/>
    <w:rsid w:val="00952F49"/>
    <w:rsid w:val="00957299"/>
    <w:rsid w:val="00970828"/>
    <w:rsid w:val="009B51EC"/>
    <w:rsid w:val="009C4A91"/>
    <w:rsid w:val="009E5C65"/>
    <w:rsid w:val="00A31796"/>
    <w:rsid w:val="00A5646D"/>
    <w:rsid w:val="00A665CF"/>
    <w:rsid w:val="00A7042F"/>
    <w:rsid w:val="00AA6BEC"/>
    <w:rsid w:val="00AB6A81"/>
    <w:rsid w:val="00B52CBD"/>
    <w:rsid w:val="00B64ECA"/>
    <w:rsid w:val="00BA1B6D"/>
    <w:rsid w:val="00BA5745"/>
    <w:rsid w:val="00BC1CEB"/>
    <w:rsid w:val="00BC7E43"/>
    <w:rsid w:val="00C06A79"/>
    <w:rsid w:val="00C20996"/>
    <w:rsid w:val="00C24C1F"/>
    <w:rsid w:val="00C33B7C"/>
    <w:rsid w:val="00C542E4"/>
    <w:rsid w:val="00C64CCB"/>
    <w:rsid w:val="00CB3AA6"/>
    <w:rsid w:val="00D145DA"/>
    <w:rsid w:val="00D20AC5"/>
    <w:rsid w:val="00D268DE"/>
    <w:rsid w:val="00D325A4"/>
    <w:rsid w:val="00D41240"/>
    <w:rsid w:val="00D42455"/>
    <w:rsid w:val="00D55DE2"/>
    <w:rsid w:val="00D63523"/>
    <w:rsid w:val="00D67B9D"/>
    <w:rsid w:val="00D85212"/>
    <w:rsid w:val="00DB3670"/>
    <w:rsid w:val="00DD59A9"/>
    <w:rsid w:val="00DE69DE"/>
    <w:rsid w:val="00DF2261"/>
    <w:rsid w:val="00E01A31"/>
    <w:rsid w:val="00E05247"/>
    <w:rsid w:val="00E44875"/>
    <w:rsid w:val="00E57815"/>
    <w:rsid w:val="00E801D4"/>
    <w:rsid w:val="00E9622F"/>
    <w:rsid w:val="00EC32B8"/>
    <w:rsid w:val="00EC6D85"/>
    <w:rsid w:val="00F217FB"/>
    <w:rsid w:val="00F268FA"/>
    <w:rsid w:val="00F40471"/>
    <w:rsid w:val="00F46F36"/>
    <w:rsid w:val="00F5179E"/>
    <w:rsid w:val="00F73483"/>
    <w:rsid w:val="00F76DB4"/>
    <w:rsid w:val="00F92C7F"/>
    <w:rsid w:val="00F94285"/>
    <w:rsid w:val="00FD1A22"/>
    <w:rsid w:val="00FE2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39B33"/>
  <w15:chartTrackingRefBased/>
  <w15:docId w15:val="{F9A8D3BE-6646-4DAB-9611-6B8A0A7D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7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7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7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7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7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7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7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7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7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7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7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7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7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7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7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7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7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70A"/>
    <w:rPr>
      <w:rFonts w:eastAsiaTheme="majorEastAsia" w:cstheme="majorBidi"/>
      <w:color w:val="272727" w:themeColor="text1" w:themeTint="D8"/>
    </w:rPr>
  </w:style>
  <w:style w:type="paragraph" w:styleId="Title">
    <w:name w:val="Title"/>
    <w:basedOn w:val="Normal"/>
    <w:next w:val="Normal"/>
    <w:link w:val="TitleChar"/>
    <w:uiPriority w:val="10"/>
    <w:qFormat/>
    <w:rsid w:val="008277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7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7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7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70A"/>
    <w:pPr>
      <w:spacing w:before="160"/>
      <w:jc w:val="center"/>
    </w:pPr>
    <w:rPr>
      <w:i/>
      <w:iCs/>
      <w:color w:val="404040" w:themeColor="text1" w:themeTint="BF"/>
    </w:rPr>
  </w:style>
  <w:style w:type="character" w:customStyle="1" w:styleId="QuoteChar">
    <w:name w:val="Quote Char"/>
    <w:basedOn w:val="DefaultParagraphFont"/>
    <w:link w:val="Quote"/>
    <w:uiPriority w:val="29"/>
    <w:rsid w:val="0082770A"/>
    <w:rPr>
      <w:i/>
      <w:iCs/>
      <w:color w:val="404040" w:themeColor="text1" w:themeTint="BF"/>
    </w:rPr>
  </w:style>
  <w:style w:type="paragraph" w:styleId="ListParagraph">
    <w:name w:val="List Paragraph"/>
    <w:basedOn w:val="Normal"/>
    <w:uiPriority w:val="34"/>
    <w:qFormat/>
    <w:rsid w:val="0082770A"/>
    <w:pPr>
      <w:ind w:left="720"/>
      <w:contextualSpacing/>
    </w:pPr>
  </w:style>
  <w:style w:type="character" w:styleId="IntenseEmphasis">
    <w:name w:val="Intense Emphasis"/>
    <w:basedOn w:val="DefaultParagraphFont"/>
    <w:uiPriority w:val="21"/>
    <w:qFormat/>
    <w:rsid w:val="0082770A"/>
    <w:rPr>
      <w:i/>
      <w:iCs/>
      <w:color w:val="0F4761" w:themeColor="accent1" w:themeShade="BF"/>
    </w:rPr>
  </w:style>
  <w:style w:type="paragraph" w:styleId="IntenseQuote">
    <w:name w:val="Intense Quote"/>
    <w:basedOn w:val="Normal"/>
    <w:next w:val="Normal"/>
    <w:link w:val="IntenseQuoteChar"/>
    <w:uiPriority w:val="30"/>
    <w:qFormat/>
    <w:rsid w:val="008277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70A"/>
    <w:rPr>
      <w:i/>
      <w:iCs/>
      <w:color w:val="0F4761" w:themeColor="accent1" w:themeShade="BF"/>
    </w:rPr>
  </w:style>
  <w:style w:type="character" w:styleId="IntenseReference">
    <w:name w:val="Intense Reference"/>
    <w:basedOn w:val="DefaultParagraphFont"/>
    <w:uiPriority w:val="32"/>
    <w:qFormat/>
    <w:rsid w:val="0082770A"/>
    <w:rPr>
      <w:b/>
      <w:bCs/>
      <w:smallCaps/>
      <w:color w:val="0F4761" w:themeColor="accent1" w:themeShade="BF"/>
      <w:spacing w:val="5"/>
    </w:rPr>
  </w:style>
  <w:style w:type="character" w:styleId="BookTitle">
    <w:name w:val="Book Title"/>
    <w:basedOn w:val="DefaultParagraphFont"/>
    <w:uiPriority w:val="33"/>
    <w:qFormat/>
    <w:rsid w:val="0082770A"/>
    <w:rPr>
      <w:b/>
      <w:bCs/>
      <w:i/>
      <w:iCs/>
      <w:spacing w:val="5"/>
    </w:rPr>
  </w:style>
  <w:style w:type="paragraph" w:styleId="Caption">
    <w:name w:val="caption"/>
    <w:basedOn w:val="Normal"/>
    <w:next w:val="Normal"/>
    <w:uiPriority w:val="35"/>
    <w:semiHidden/>
    <w:unhideWhenUsed/>
    <w:qFormat/>
    <w:rsid w:val="0082770A"/>
    <w:pPr>
      <w:spacing w:after="200" w:line="240" w:lineRule="auto"/>
    </w:pPr>
    <w:rPr>
      <w:i/>
      <w:iCs/>
      <w:color w:val="0E2841" w:themeColor="text2"/>
      <w:sz w:val="18"/>
      <w:szCs w:val="18"/>
    </w:rPr>
  </w:style>
  <w:style w:type="character" w:styleId="Emphasis">
    <w:name w:val="Emphasis"/>
    <w:basedOn w:val="DefaultParagraphFont"/>
    <w:uiPriority w:val="20"/>
    <w:qFormat/>
    <w:rsid w:val="0082770A"/>
    <w:rPr>
      <w:i/>
      <w:iCs/>
    </w:rPr>
  </w:style>
  <w:style w:type="paragraph" w:styleId="NoSpacing">
    <w:name w:val="No Spacing"/>
    <w:uiPriority w:val="1"/>
    <w:qFormat/>
    <w:rsid w:val="0082770A"/>
    <w:pPr>
      <w:spacing w:after="0" w:line="240" w:lineRule="auto"/>
    </w:pPr>
  </w:style>
  <w:style w:type="character" w:styleId="Strong">
    <w:name w:val="Strong"/>
    <w:basedOn w:val="DefaultParagraphFont"/>
    <w:uiPriority w:val="22"/>
    <w:qFormat/>
    <w:rsid w:val="0082770A"/>
    <w:rPr>
      <w:b/>
      <w:bCs/>
    </w:rPr>
  </w:style>
  <w:style w:type="character" w:styleId="SubtleEmphasis">
    <w:name w:val="Subtle Emphasis"/>
    <w:basedOn w:val="DefaultParagraphFont"/>
    <w:uiPriority w:val="19"/>
    <w:qFormat/>
    <w:rsid w:val="0082770A"/>
    <w:rPr>
      <w:i/>
      <w:iCs/>
      <w:color w:val="404040" w:themeColor="text1" w:themeTint="BF"/>
    </w:rPr>
  </w:style>
  <w:style w:type="character" w:styleId="SubtleReference">
    <w:name w:val="Subtle Reference"/>
    <w:basedOn w:val="DefaultParagraphFont"/>
    <w:uiPriority w:val="31"/>
    <w:qFormat/>
    <w:rsid w:val="0082770A"/>
    <w:rPr>
      <w:smallCaps/>
      <w:color w:val="5A5A5A" w:themeColor="text1" w:themeTint="A5"/>
    </w:rPr>
  </w:style>
  <w:style w:type="paragraph" w:styleId="TOCHeading">
    <w:name w:val="TOC Heading"/>
    <w:basedOn w:val="Heading1"/>
    <w:next w:val="Normal"/>
    <w:uiPriority w:val="39"/>
    <w:semiHidden/>
    <w:unhideWhenUsed/>
    <w:qFormat/>
    <w:rsid w:val="0082770A"/>
    <w:pPr>
      <w:spacing w:before="240" w:after="0"/>
      <w:outlineLvl w:val="9"/>
    </w:pPr>
    <w:rPr>
      <w:sz w:val="32"/>
      <w:szCs w:val="32"/>
    </w:rPr>
  </w:style>
  <w:style w:type="character" w:styleId="Hyperlink">
    <w:name w:val="Hyperlink"/>
    <w:basedOn w:val="DefaultParagraphFont"/>
    <w:uiPriority w:val="99"/>
    <w:semiHidden/>
    <w:unhideWhenUsed/>
    <w:rsid w:val="009442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justspace.org.uk/category/move/" TargetMode="External"/><Relationship Id="rId5" Type="http://schemas.openxmlformats.org/officeDocument/2006/relationships/hyperlink" Target="https://www.london.gov.uk/sites/default/files/2026-09/Draft-London-Plan-2026-web-versio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D9585-5C60-45BA-9ECD-F145D684C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8</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Brown</dc:creator>
  <cp:keywords/>
  <dc:description/>
  <cp:lastModifiedBy>Robin Brown</cp:lastModifiedBy>
  <cp:revision>137</cp:revision>
  <dcterms:created xsi:type="dcterms:W3CDTF">2026-09-09T10:02:00Z</dcterms:created>
  <dcterms:modified xsi:type="dcterms:W3CDTF">2026-10-02T13:23:00Z</dcterms:modified>
</cp:coreProperties>
</file>